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line="288" w:lineRule="auto"/>
        <w:jc w:val="center"/>
        <w:rPr>
          <w:rFonts w:ascii="Open Sans Light" w:cs="Open Sans Light" w:eastAsia="Open Sans Light" w:hAnsi="Open Sans Light"/>
        </w:rPr>
      </w:pPr>
      <w:r w:rsidDel="00000000" w:rsidR="00000000" w:rsidRPr="00000000">
        <w:rPr>
          <w:rFonts w:ascii="Open Sans Light" w:cs="Open Sans Light" w:eastAsia="Open Sans Light" w:hAnsi="Open Sans Light"/>
        </w:rPr>
        <w:drawing>
          <wp:inline distB="114300" distT="114300" distL="114300" distR="114300">
            <wp:extent cx="1528763" cy="482767"/>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528763" cy="48276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88" w:lineRule="auto"/>
        <w:jc w:val="center"/>
        <w:rPr>
          <w:rFonts w:ascii="Open Sans Light" w:cs="Open Sans Light" w:eastAsia="Open Sans Light" w:hAnsi="Open Sans Light"/>
          <w:sz w:val="16"/>
          <w:szCs w:val="16"/>
        </w:rPr>
      </w:pPr>
      <w:r w:rsidDel="00000000" w:rsidR="00000000" w:rsidRPr="00000000">
        <w:rPr>
          <w:rtl w:val="0"/>
        </w:rPr>
      </w:r>
    </w:p>
    <w:p w:rsidR="00000000" w:rsidDel="00000000" w:rsidP="00000000" w:rsidRDefault="00000000" w:rsidRPr="00000000" w14:paraId="00000003">
      <w:pPr>
        <w:spacing w:after="0" w:line="288" w:lineRule="auto"/>
        <w:jc w:val="center"/>
        <w:rPr>
          <w:rFonts w:ascii="Open Sans Light" w:cs="Open Sans Light" w:eastAsia="Open Sans Light" w:hAnsi="Open Sans Light"/>
          <w:color w:val="0432f0"/>
        </w:rPr>
      </w:pPr>
      <w:r w:rsidDel="00000000" w:rsidR="00000000" w:rsidRPr="00000000">
        <w:rPr>
          <w:rFonts w:ascii="Open Sans Light" w:cs="Open Sans Light" w:eastAsia="Open Sans Light" w:hAnsi="Open Sans Light"/>
          <w:color w:val="0432f0"/>
          <w:sz w:val="48"/>
          <w:szCs w:val="48"/>
          <w:rtl w:val="0"/>
        </w:rPr>
        <w:t xml:space="preserve">Brand Strategy &amp; Positioning</w:t>
      </w:r>
      <w:r w:rsidDel="00000000" w:rsidR="00000000" w:rsidRPr="00000000">
        <w:rPr>
          <w:rtl w:val="0"/>
        </w:rPr>
      </w:r>
    </w:p>
    <w:p w:rsidR="00000000" w:rsidDel="00000000" w:rsidP="00000000" w:rsidRDefault="00000000" w:rsidRPr="00000000" w14:paraId="00000004">
      <w:pPr>
        <w:spacing w:after="240" w:line="288" w:lineRule="auto"/>
        <w:jc w:val="center"/>
        <w:rPr>
          <w:rFonts w:ascii="Open Sans Light" w:cs="Open Sans Light" w:eastAsia="Open Sans Light" w:hAnsi="Open Sans Light"/>
          <w:color w:val="4f4e4f"/>
        </w:rPr>
      </w:pPr>
      <w:r w:rsidDel="00000000" w:rsidR="00000000" w:rsidRPr="00000000">
        <w:rPr>
          <w:rFonts w:ascii="Open Sans Light" w:cs="Open Sans Light" w:eastAsia="Open Sans Light" w:hAnsi="Open Sans Light"/>
          <w:color w:val="4f4e4f"/>
          <w:rtl w:val="0"/>
        </w:rPr>
        <w:t xml:space="preserve">Our brand strategy and positioning should be solidly imprinted in our minds </w:t>
        <w:br w:type="textWrapping"/>
        <w:t xml:space="preserve">when we speak, act, and represent Adi.</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40"/>
        <w:gridCol w:w="7620"/>
        <w:tblGridChange w:id="0">
          <w:tblGrid>
            <w:gridCol w:w="1740"/>
            <w:gridCol w:w="7620"/>
          </w:tblGrid>
        </w:tblGridChange>
      </w:tblGrid>
      <w:tr>
        <w:trPr>
          <w:cantSplit w:val="0"/>
          <w:trHeight w:val="859.0390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Open Sans SemiBold" w:cs="Open Sans SemiBold" w:eastAsia="Open Sans SemiBold" w:hAnsi="Open Sans SemiBold"/>
                <w:color w:val="0432f0"/>
              </w:rPr>
            </w:pPr>
            <w:r w:rsidDel="00000000" w:rsidR="00000000" w:rsidRPr="00000000">
              <w:rPr>
                <w:rFonts w:ascii="Open Sans SemiBold" w:cs="Open Sans SemiBold" w:eastAsia="Open Sans SemiBold" w:hAnsi="Open Sans SemiBold"/>
                <w:color w:val="0432f0"/>
                <w:rtl w:val="0"/>
              </w:rPr>
              <w:t xml:space="preserve">Belief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Open Sans Light" w:cs="Open Sans Light" w:eastAsia="Open Sans Light" w:hAnsi="Open Sans Light"/>
                <w:color w:val="4f4e4f"/>
              </w:rPr>
            </w:pPr>
            <w:r w:rsidDel="00000000" w:rsidR="00000000" w:rsidRPr="00000000">
              <w:rPr>
                <w:rFonts w:ascii="Open Sans Light" w:cs="Open Sans Light" w:eastAsia="Open Sans Light" w:hAnsi="Open Sans Light"/>
                <w:color w:val="4f4e4f"/>
                <w:rtl w:val="0"/>
              </w:rPr>
              <w:t xml:space="preserve">We believe digital innovation elevates every product we create, every process we touch, and every person we serve.</w:t>
            </w:r>
          </w:p>
        </w:tc>
      </w:tr>
      <w:tr>
        <w:trPr>
          <w:cantSplit w:val="0"/>
          <w:trHeight w:val="859.0390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Open Sans SemiBold" w:cs="Open Sans SemiBold" w:eastAsia="Open Sans SemiBold" w:hAnsi="Open Sans SemiBold"/>
                <w:color w:val="0432f0"/>
              </w:rPr>
            </w:pPr>
            <w:r w:rsidDel="00000000" w:rsidR="00000000" w:rsidRPr="00000000">
              <w:rPr>
                <w:rFonts w:ascii="Open Sans SemiBold" w:cs="Open Sans SemiBold" w:eastAsia="Open Sans SemiBold" w:hAnsi="Open Sans SemiBold"/>
                <w:color w:val="0432f0"/>
                <w:rtl w:val="0"/>
              </w:rPr>
              <w:t xml:space="preserve">Purpose</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Open Sans Light" w:cs="Open Sans Light" w:eastAsia="Open Sans Light" w:hAnsi="Open Sans Light"/>
                <w:color w:val="4f4e4f"/>
              </w:rPr>
            </w:pPr>
            <w:r w:rsidDel="00000000" w:rsidR="00000000" w:rsidRPr="00000000">
              <w:rPr>
                <w:rFonts w:ascii="Open Sans Light" w:cs="Open Sans Light" w:eastAsia="Open Sans Light" w:hAnsi="Open Sans Light"/>
                <w:color w:val="4f4e4f"/>
                <w:rtl w:val="0"/>
              </w:rPr>
              <w:t xml:space="preserve">To digitally support and empower surgical eye care professionals and their patients at every step of their eye care journey.</w:t>
            </w:r>
          </w:p>
        </w:tc>
      </w:tr>
      <w:tr>
        <w:trPr>
          <w:cantSplit w:val="0"/>
          <w:trHeight w:val="859.0390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Open Sans SemiBold" w:cs="Open Sans SemiBold" w:eastAsia="Open Sans SemiBold" w:hAnsi="Open Sans SemiBold"/>
                <w:color w:val="0432f0"/>
              </w:rPr>
            </w:pPr>
            <w:r w:rsidDel="00000000" w:rsidR="00000000" w:rsidRPr="00000000">
              <w:rPr>
                <w:rFonts w:ascii="Open Sans SemiBold" w:cs="Open Sans SemiBold" w:eastAsia="Open Sans SemiBold" w:hAnsi="Open Sans SemiBold"/>
                <w:color w:val="0432f0"/>
                <w:rtl w:val="0"/>
              </w:rPr>
              <w:t xml:space="preserve">Vision</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Open Sans Light" w:cs="Open Sans Light" w:eastAsia="Open Sans Light" w:hAnsi="Open Sans Light"/>
                <w:color w:val="4f4e4f"/>
              </w:rPr>
            </w:pPr>
            <w:r w:rsidDel="00000000" w:rsidR="00000000" w:rsidRPr="00000000">
              <w:rPr>
                <w:rFonts w:ascii="Open Sans Light" w:cs="Open Sans Light" w:eastAsia="Open Sans Light" w:hAnsi="Open Sans Light"/>
                <w:color w:val="4f4e4f"/>
                <w:rtl w:val="0"/>
              </w:rPr>
              <w:t xml:space="preserve">To be the digital innovation brand that transforms eye surgery into a brilliantly efficient, effective, and rewarding experience.</w:t>
            </w:r>
          </w:p>
        </w:tc>
      </w:tr>
    </w:tbl>
    <w:p w:rsidR="00000000" w:rsidDel="00000000" w:rsidP="00000000" w:rsidRDefault="00000000" w:rsidRPr="00000000" w14:paraId="0000000B">
      <w:pPr>
        <w:spacing w:after="0" w:line="288" w:lineRule="auto"/>
        <w:jc w:val="left"/>
        <w:rPr>
          <w:rFonts w:ascii="Open Sans Light" w:cs="Open Sans Light" w:eastAsia="Open Sans Light" w:hAnsi="Open Sans Light"/>
          <w:color w:val="4f4e4f"/>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75"/>
        <w:gridCol w:w="7185"/>
        <w:tblGridChange w:id="0">
          <w:tblGrid>
            <w:gridCol w:w="2175"/>
            <w:gridCol w:w="7185"/>
          </w:tblGrid>
        </w:tblGridChange>
      </w:tblGrid>
      <w:tr>
        <w:trPr>
          <w:cantSplit w:val="0"/>
          <w:trHeight w:val="1890" w:hRule="atLeast"/>
          <w:tblHeader w:val="0"/>
        </w:trPr>
        <w:tc>
          <w:tcPr>
            <w:tcBorders>
              <w:top w:color="000000" w:space="0" w:sz="0" w:val="nil"/>
              <w:left w:color="000000" w:space="0" w:sz="0" w:val="nil"/>
              <w:bottom w:color="000000" w:space="0" w:sz="0" w:val="nil"/>
              <w:right w:color="000000" w:space="0" w:sz="0" w:val="nil"/>
            </w:tcBorders>
            <w:shd w:fill="f3f5fe" w:val="clear"/>
            <w:tcMar>
              <w:top w:w="243.36" w:type="dxa"/>
              <w:left w:w="243.36" w:type="dxa"/>
              <w:bottom w:w="243.36" w:type="dxa"/>
              <w:right w:w="243.36"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Open Sans SemiBold" w:cs="Open Sans SemiBold" w:eastAsia="Open Sans SemiBold" w:hAnsi="Open Sans SemiBold"/>
                <w:color w:val="0432f0"/>
              </w:rPr>
            </w:pPr>
            <w:r w:rsidDel="00000000" w:rsidR="00000000" w:rsidRPr="00000000">
              <w:rPr>
                <w:rFonts w:ascii="Open Sans SemiBold" w:cs="Open Sans SemiBold" w:eastAsia="Open Sans SemiBold" w:hAnsi="Open Sans SemiBold"/>
                <w:color w:val="0432f0"/>
                <w:rtl w:val="0"/>
              </w:rPr>
              <w:t xml:space="preserve">Positioning statement</w:t>
            </w:r>
          </w:p>
        </w:tc>
        <w:tc>
          <w:tcPr>
            <w:tcBorders>
              <w:top w:color="000000" w:space="0" w:sz="0" w:val="nil"/>
              <w:left w:color="000000" w:space="0" w:sz="0" w:val="nil"/>
              <w:bottom w:color="000000" w:space="0" w:sz="0" w:val="nil"/>
              <w:right w:color="000000" w:space="0" w:sz="0" w:val="nil"/>
            </w:tcBorders>
            <w:shd w:fill="f3f5fe" w:val="clear"/>
            <w:tcMar>
              <w:top w:w="243.36" w:type="dxa"/>
              <w:left w:w="243.36" w:type="dxa"/>
              <w:bottom w:w="243.36" w:type="dxa"/>
              <w:right w:w="243.36" w:type="dxa"/>
            </w:tcMar>
            <w:vAlign w:val="top"/>
          </w:tcPr>
          <w:p w:rsidR="00000000" w:rsidDel="00000000" w:rsidP="00000000" w:rsidRDefault="00000000" w:rsidRPr="00000000" w14:paraId="0000000D">
            <w:pPr>
              <w:widowControl w:val="0"/>
              <w:spacing w:after="0" w:line="288" w:lineRule="auto"/>
              <w:rPr>
                <w:rFonts w:ascii="Open Sans Light" w:cs="Open Sans Light" w:eastAsia="Open Sans Light" w:hAnsi="Open Sans Light"/>
                <w:color w:val="4f4e4f"/>
              </w:rPr>
            </w:pPr>
            <w:r w:rsidDel="00000000" w:rsidR="00000000" w:rsidRPr="00000000">
              <w:rPr>
                <w:rFonts w:ascii="Open Sans Light" w:cs="Open Sans Light" w:eastAsia="Open Sans Light" w:hAnsi="Open Sans Light"/>
                <w:color w:val="4f4e4f"/>
                <w:rtl w:val="0"/>
              </w:rPr>
              <w:t xml:space="preserve">Adi infuses digital innovations into products and processes across the eye care spectrum. By enhancing performance and streamlining workflows, Adi products create new possibilities for eye care professionals, their practices, and their patients.</w:t>
            </w:r>
          </w:p>
        </w:tc>
      </w:tr>
    </w:tbl>
    <w:p w:rsidR="00000000" w:rsidDel="00000000" w:rsidP="00000000" w:rsidRDefault="00000000" w:rsidRPr="00000000" w14:paraId="0000000E">
      <w:pPr>
        <w:spacing w:after="0" w:line="288" w:lineRule="auto"/>
        <w:jc w:val="left"/>
        <w:rPr>
          <w:rFonts w:ascii="Open Sans Light" w:cs="Open Sans Light" w:eastAsia="Open Sans Light" w:hAnsi="Open Sans Light"/>
          <w:color w:val="4f4e4f"/>
        </w:rPr>
      </w:pPr>
      <w:r w:rsidDel="00000000" w:rsidR="00000000" w:rsidRPr="00000000">
        <w:rPr>
          <w:rtl w:val="0"/>
        </w:rPr>
      </w:r>
    </w:p>
    <w:p w:rsidR="00000000" w:rsidDel="00000000" w:rsidP="00000000" w:rsidRDefault="00000000" w:rsidRPr="00000000" w14:paraId="0000000F">
      <w:pPr>
        <w:spacing w:after="240" w:before="240" w:line="288" w:lineRule="auto"/>
        <w:jc w:val="left"/>
        <w:rPr>
          <w:rFonts w:ascii="Open Sans Light" w:cs="Open Sans Light" w:eastAsia="Open Sans Light" w:hAnsi="Open Sans Light"/>
          <w:color w:val="0432f0"/>
        </w:rPr>
      </w:pPr>
      <w:r w:rsidDel="00000000" w:rsidR="00000000" w:rsidRPr="00000000">
        <w:rPr>
          <w:rFonts w:ascii="Open Sans SemiBold" w:cs="Open Sans SemiBold" w:eastAsia="Open Sans SemiBold" w:hAnsi="Open Sans SemiBold"/>
          <w:color w:val="0432f0"/>
          <w:rtl w:val="0"/>
        </w:rPr>
        <w:t xml:space="preserve">Value propositions </w:t>
      </w:r>
      <w:r w:rsidDel="00000000" w:rsidR="00000000" w:rsidRPr="00000000">
        <w:rPr>
          <w:rFonts w:ascii="Open Sans Light" w:cs="Open Sans Light" w:eastAsia="Open Sans Light" w:hAnsi="Open Sans Light"/>
          <w:color w:val="0432f0"/>
          <w:rtl w:val="0"/>
        </w:rPr>
        <w:t xml:space="preserve">that help us clarify our product offering:</w:t>
      </w:r>
    </w:p>
    <w:p w:rsidR="00000000" w:rsidDel="00000000" w:rsidP="00000000" w:rsidRDefault="00000000" w:rsidRPr="00000000" w14:paraId="00000010">
      <w:pPr>
        <w:widowControl w:val="0"/>
        <w:numPr>
          <w:ilvl w:val="0"/>
          <w:numId w:val="1"/>
        </w:numPr>
        <w:spacing w:after="240" w:line="288" w:lineRule="auto"/>
        <w:ind w:left="450" w:hanging="360"/>
        <w:rPr/>
      </w:pPr>
      <w:r w:rsidDel="00000000" w:rsidR="00000000" w:rsidRPr="00000000">
        <w:rPr>
          <w:rFonts w:ascii="Open Sans SemiBold" w:cs="Open Sans SemiBold" w:eastAsia="Open Sans SemiBold" w:hAnsi="Open Sans SemiBold"/>
          <w:color w:val="0432f0"/>
          <w:rtl w:val="0"/>
        </w:rPr>
        <w:t xml:space="preserve">Adi Clinic Connect </w:t>
      </w:r>
      <w:r w:rsidDel="00000000" w:rsidR="00000000" w:rsidRPr="00000000">
        <w:rPr>
          <w:rFonts w:ascii="Open Sans Light" w:cs="Open Sans Light" w:eastAsia="Open Sans Light" w:hAnsi="Open Sans Light"/>
          <w:color w:val="4f4e4f"/>
          <w:rtl w:val="0"/>
        </w:rPr>
        <w:t xml:space="preserve">streamlines communications between clinics and surgery centers, enabling them to easily share patient and surgery information, track OR preferences, and ensure the right Alcon products are reserved and available for surgery..</w:t>
      </w:r>
    </w:p>
    <w:p w:rsidR="00000000" w:rsidDel="00000000" w:rsidP="00000000" w:rsidRDefault="00000000" w:rsidRPr="00000000" w14:paraId="00000011">
      <w:pPr>
        <w:widowControl w:val="0"/>
        <w:numPr>
          <w:ilvl w:val="0"/>
          <w:numId w:val="1"/>
        </w:numPr>
        <w:spacing w:after="240" w:line="288" w:lineRule="auto"/>
        <w:ind w:left="450" w:hanging="360"/>
        <w:rPr/>
      </w:pPr>
      <w:r w:rsidDel="00000000" w:rsidR="00000000" w:rsidRPr="00000000">
        <w:rPr>
          <w:rFonts w:ascii="Open Sans SemiBold" w:cs="Open Sans SemiBold" w:eastAsia="Open Sans SemiBold" w:hAnsi="Open Sans SemiBold"/>
          <w:color w:val="0432f0"/>
          <w:rtl w:val="0"/>
        </w:rPr>
        <w:t xml:space="preserve">Adi Inventory Manager </w:t>
      </w:r>
      <w:r w:rsidDel="00000000" w:rsidR="00000000" w:rsidRPr="00000000">
        <w:rPr>
          <w:rFonts w:ascii="Open Sans Light" w:cs="Open Sans Light" w:eastAsia="Open Sans Light" w:hAnsi="Open Sans Light"/>
          <w:color w:val="4f4e4f"/>
          <w:rtl w:val="0"/>
        </w:rPr>
        <w:t xml:space="preserve">gives users unrivaled visibility and control of Alcon surgical products moving through the practice, using solutions that enable end-to-end tracking and easy as-needed allocation.</w:t>
      </w:r>
    </w:p>
    <w:p w:rsidR="00000000" w:rsidDel="00000000" w:rsidP="00000000" w:rsidRDefault="00000000" w:rsidRPr="00000000" w14:paraId="00000012">
      <w:pPr>
        <w:widowControl w:val="0"/>
        <w:numPr>
          <w:ilvl w:val="0"/>
          <w:numId w:val="1"/>
        </w:numPr>
        <w:spacing w:after="240" w:line="288" w:lineRule="auto"/>
        <w:ind w:left="450" w:hanging="360"/>
        <w:rPr>
          <w:rFonts w:ascii="Open Sans Light" w:cs="Open Sans Light" w:eastAsia="Open Sans Light" w:hAnsi="Open Sans Light"/>
          <w:color w:val="4f4e4f"/>
        </w:rPr>
      </w:pPr>
      <w:r w:rsidDel="00000000" w:rsidR="00000000" w:rsidRPr="00000000">
        <w:rPr>
          <w:rFonts w:ascii="Open Sans SemiBold" w:cs="Open Sans SemiBold" w:eastAsia="Open Sans SemiBold" w:hAnsi="Open Sans SemiBold"/>
          <w:color w:val="0432f0"/>
          <w:rtl w:val="0"/>
        </w:rPr>
        <w:t xml:space="preserve">Adi Online Store </w:t>
      </w:r>
      <w:r w:rsidDel="00000000" w:rsidR="00000000" w:rsidRPr="00000000">
        <w:rPr>
          <w:rFonts w:ascii="Open Sans Light" w:cs="Open Sans Light" w:eastAsia="Open Sans Light" w:hAnsi="Open Sans Light"/>
          <w:color w:val="4f4e4f"/>
          <w:rtl w:val="0"/>
        </w:rPr>
        <w:t xml:space="preserve">enables users to place, track, and manage Alcon product orders more conveniently than ever with a modern eCommerce platform for surgical inventory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Open Sans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OpenSansSemiBold-regular.ttf"/><Relationship Id="rId2" Type="http://schemas.openxmlformats.org/officeDocument/2006/relationships/font" Target="fonts/OpenSansSemiBold-bold.ttf"/><Relationship Id="rId3" Type="http://schemas.openxmlformats.org/officeDocument/2006/relationships/font" Target="fonts/OpenSansSemiBold-italic.ttf"/><Relationship Id="rId4" Type="http://schemas.openxmlformats.org/officeDocument/2006/relationships/font" Target="fonts/OpenSansSemiBold-boldItalic.ttf"/><Relationship Id="rId5" Type="http://schemas.openxmlformats.org/officeDocument/2006/relationships/font" Target="fonts/OpenSansLight-regular.ttf"/><Relationship Id="rId6" Type="http://schemas.openxmlformats.org/officeDocument/2006/relationships/font" Target="fonts/OpenSansLight-bold.ttf"/><Relationship Id="rId7" Type="http://schemas.openxmlformats.org/officeDocument/2006/relationships/font" Target="fonts/OpenSansLight-italic.ttf"/><Relationship Id="rId8" Type="http://schemas.openxmlformats.org/officeDocument/2006/relationships/font" Target="fonts/OpenSans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