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45C5C" w14:textId="3C6C105A" w:rsidR="00E12CD2" w:rsidRPr="00E237D8" w:rsidRDefault="00E12CD2" w:rsidP="00136A01">
      <w:pPr>
        <w:pStyle w:val="Header1"/>
        <w:jc w:val="center"/>
      </w:pPr>
      <w:r w:rsidRPr="00E237D8">
        <w:t>Title of ASX announcement</w:t>
      </w:r>
    </w:p>
    <w:p w14:paraId="2EC8279D" w14:textId="77777777" w:rsidR="00E12CD2" w:rsidRPr="00E237D8" w:rsidRDefault="00E12CD2" w:rsidP="00136A01">
      <w:pPr>
        <w:pStyle w:val="Paragraph"/>
      </w:pPr>
      <w:r w:rsidRPr="00E237D8">
        <w:t xml:space="preserve">Allkem Limited (ASX/TSX: AKE, the Company) is releasing its December Quarterly Activities Report and financial position as </w:t>
      </w:r>
      <w:proofErr w:type="gramStart"/>
      <w:r w:rsidRPr="00E237D8">
        <w:t>at</w:t>
      </w:r>
      <w:proofErr w:type="gramEnd"/>
      <w:r w:rsidRPr="00E237D8">
        <w:t xml:space="preserve"> 31 December 2021. </w:t>
      </w:r>
    </w:p>
    <w:p w14:paraId="4FA484FB" w14:textId="77777777" w:rsidR="00E12CD2" w:rsidRPr="00E237D8" w:rsidRDefault="00E12CD2" w:rsidP="00192838">
      <w:pPr>
        <w:pStyle w:val="Header1"/>
        <w:jc w:val="both"/>
      </w:pPr>
      <w:r w:rsidRPr="00E237D8">
        <w:t xml:space="preserve">HIGHLIGHTS </w:t>
      </w:r>
    </w:p>
    <w:p w14:paraId="758E6DF1" w14:textId="77777777" w:rsidR="00E12CD2" w:rsidRPr="00E237D8" w:rsidRDefault="00E12CD2" w:rsidP="00136A01">
      <w:pPr>
        <w:pStyle w:val="Subheading1"/>
      </w:pPr>
      <w:r w:rsidRPr="00E237D8">
        <w:t xml:space="preserve">Subheading </w:t>
      </w:r>
    </w:p>
    <w:p w14:paraId="741CB1CE" w14:textId="77777777" w:rsidR="00E12CD2" w:rsidRPr="00E237D8" w:rsidRDefault="00E12CD2" w:rsidP="00136A01">
      <w:pPr>
        <w:pStyle w:val="Style10"/>
      </w:pPr>
      <w:r w:rsidRPr="00E237D8">
        <w:t xml:space="preserve">Highlight number 1. Highlight number 1. Highlight number 1. Highlight number 1. Highlight no. </w:t>
      </w:r>
    </w:p>
    <w:p w14:paraId="0BDE2466" w14:textId="77777777" w:rsidR="00E12CD2" w:rsidRPr="00E237D8" w:rsidRDefault="00E12CD2" w:rsidP="00136A01">
      <w:pPr>
        <w:pStyle w:val="Style10"/>
      </w:pPr>
      <w:r w:rsidRPr="00E237D8">
        <w:t>Highlight number 2. Highlight number 1. Highlight number 1. Highlight number 1. Highlight no.</w:t>
      </w:r>
    </w:p>
    <w:p w14:paraId="64271A92" w14:textId="77777777" w:rsidR="00E12CD2" w:rsidRPr="00E237D8" w:rsidRDefault="00E12CD2" w:rsidP="00136A01">
      <w:pPr>
        <w:pStyle w:val="Subheading1"/>
      </w:pPr>
      <w:r w:rsidRPr="00E237D8">
        <w:t xml:space="preserve">Subheading </w:t>
      </w:r>
    </w:p>
    <w:p w14:paraId="4B3331C0" w14:textId="77777777" w:rsidR="00E12CD2" w:rsidRPr="00E237D8" w:rsidRDefault="00E12CD2" w:rsidP="00136A01">
      <w:pPr>
        <w:pStyle w:val="Style10"/>
      </w:pPr>
      <w:r w:rsidRPr="00E237D8">
        <w:t>Highlight number 3. Highlight number 1. Highlight number 1. Highlight number 1. Highlight no.</w:t>
      </w:r>
    </w:p>
    <w:p w14:paraId="06085D02" w14:textId="77777777" w:rsidR="00E12CD2" w:rsidRPr="00E237D8" w:rsidRDefault="00E12CD2" w:rsidP="00136A01">
      <w:pPr>
        <w:pStyle w:val="Style10"/>
      </w:pPr>
      <w:r w:rsidRPr="00E237D8">
        <w:t>Highlight number 4. Highlight number 1. Highlight number 1. Highlight number 1. Highlight no.</w:t>
      </w:r>
    </w:p>
    <w:p w14:paraId="09E4C96E" w14:textId="77777777" w:rsidR="00E12CD2" w:rsidRPr="00E237D8" w:rsidRDefault="00E12CD2" w:rsidP="00136A01">
      <w:pPr>
        <w:pStyle w:val="Header1"/>
      </w:pPr>
      <w:r w:rsidRPr="00E237D8">
        <w:t xml:space="preserve">OPERATIONS </w:t>
      </w:r>
    </w:p>
    <w:p w14:paraId="2910412D" w14:textId="77777777" w:rsidR="00E12CD2" w:rsidRPr="00E237D8" w:rsidRDefault="00E12CD2" w:rsidP="00136A01">
      <w:pPr>
        <w:pStyle w:val="Subheading1"/>
      </w:pPr>
      <w:r w:rsidRPr="00E237D8">
        <w:t xml:space="preserve">Subheading </w:t>
      </w:r>
    </w:p>
    <w:p w14:paraId="6FA1285F" w14:textId="77777777" w:rsidR="00E12CD2" w:rsidRPr="00E237D8" w:rsidRDefault="00E12CD2" w:rsidP="00136A01">
      <w:pPr>
        <w:pStyle w:val="Paragraph"/>
      </w:pPr>
      <w:r w:rsidRPr="00E237D8">
        <w:t>Production for the September quarter was 2,802 tonnes, up 19% from 2,352 tonnes in the previous corresponding period (PCP), with 58% of production being battery grade lithium carbonate. Production for the September quarter was 2,802 tonnes, up 19% from 2,352 tonnes in the previous corresponding period (PCP), with 58% of production being battery grade lithium carbonate.</w:t>
      </w:r>
    </w:p>
    <w:p w14:paraId="09611DED" w14:textId="3BEC6C9F" w:rsidR="006E432F" w:rsidRDefault="006E432F" w:rsidP="006E432F">
      <w:pPr>
        <w:pStyle w:val="Figure"/>
      </w:pPr>
      <w:r w:rsidRPr="001A50CB">
        <w:t xml:space="preserve">Table </w:t>
      </w:r>
      <w:fldSimple w:instr=" SEQ Table \* ARABIC ">
        <w:r w:rsidRPr="001A50CB">
          <w:t>1</w:t>
        </w:r>
      </w:fldSimple>
      <w:r w:rsidRPr="001A50CB">
        <w:t xml:space="preserve">: Title of content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7"/>
        <w:gridCol w:w="1832"/>
        <w:gridCol w:w="1834"/>
        <w:gridCol w:w="1834"/>
        <w:gridCol w:w="1659"/>
      </w:tblGrid>
      <w:tr w:rsidR="00596E08" w14:paraId="423BE4DE" w14:textId="77777777" w:rsidTr="00086E34">
        <w:tc>
          <w:tcPr>
            <w:tcW w:w="1867" w:type="dxa"/>
            <w:shd w:val="clear" w:color="auto" w:fill="222539"/>
          </w:tcPr>
          <w:p w14:paraId="14BB338B" w14:textId="77777777" w:rsidR="00596E08" w:rsidRDefault="00596E08" w:rsidP="00086E34">
            <w:pPr>
              <w:jc w:val="both"/>
            </w:pPr>
            <w:r>
              <w:t xml:space="preserve">Column 1 </w:t>
            </w:r>
          </w:p>
        </w:tc>
        <w:tc>
          <w:tcPr>
            <w:tcW w:w="1832" w:type="dxa"/>
            <w:shd w:val="clear" w:color="auto" w:fill="222539"/>
          </w:tcPr>
          <w:p w14:paraId="6CB51E68" w14:textId="77777777" w:rsidR="00596E08" w:rsidRDefault="00596E08" w:rsidP="00086E34">
            <w:pPr>
              <w:jc w:val="both"/>
            </w:pPr>
            <w:r>
              <w:t>Column 2</w:t>
            </w:r>
          </w:p>
        </w:tc>
        <w:tc>
          <w:tcPr>
            <w:tcW w:w="1834" w:type="dxa"/>
            <w:shd w:val="clear" w:color="auto" w:fill="222539"/>
          </w:tcPr>
          <w:p w14:paraId="7B5C5D7C" w14:textId="77777777" w:rsidR="00596E08" w:rsidRDefault="00596E08" w:rsidP="00086E34">
            <w:pPr>
              <w:jc w:val="both"/>
            </w:pPr>
            <w:r>
              <w:t>Column 3</w:t>
            </w:r>
          </w:p>
        </w:tc>
        <w:tc>
          <w:tcPr>
            <w:tcW w:w="1834" w:type="dxa"/>
            <w:shd w:val="clear" w:color="auto" w:fill="222539"/>
          </w:tcPr>
          <w:p w14:paraId="217B58DB" w14:textId="77777777" w:rsidR="00596E08" w:rsidRDefault="00596E08" w:rsidP="00086E34">
            <w:pPr>
              <w:jc w:val="both"/>
            </w:pPr>
            <w:r>
              <w:t>Column 4</w:t>
            </w:r>
          </w:p>
        </w:tc>
        <w:tc>
          <w:tcPr>
            <w:tcW w:w="1659" w:type="dxa"/>
            <w:shd w:val="clear" w:color="auto" w:fill="222539"/>
          </w:tcPr>
          <w:p w14:paraId="140C9850" w14:textId="77777777" w:rsidR="00596E08" w:rsidRDefault="00596E08" w:rsidP="00086E34">
            <w:pPr>
              <w:jc w:val="both"/>
            </w:pPr>
            <w:r>
              <w:t>Column 5</w:t>
            </w:r>
          </w:p>
        </w:tc>
      </w:tr>
      <w:tr w:rsidR="00596E08" w14:paraId="095BD5E6" w14:textId="77777777" w:rsidTr="00086E34">
        <w:tc>
          <w:tcPr>
            <w:tcW w:w="1867" w:type="dxa"/>
            <w:tcBorders>
              <w:bottom w:val="single" w:sz="4" w:space="0" w:color="712BFA"/>
            </w:tcBorders>
            <w:shd w:val="clear" w:color="auto" w:fill="E9E9EB"/>
          </w:tcPr>
          <w:p w14:paraId="0EC7EE25" w14:textId="77777777" w:rsidR="00596E08" w:rsidRDefault="00596E08" w:rsidP="00086E34">
            <w:pPr>
              <w:jc w:val="both"/>
            </w:pPr>
            <w:r>
              <w:t>Data</w:t>
            </w:r>
          </w:p>
        </w:tc>
        <w:tc>
          <w:tcPr>
            <w:tcW w:w="1832" w:type="dxa"/>
            <w:tcBorders>
              <w:bottom w:val="single" w:sz="4" w:space="0" w:color="712BFA"/>
            </w:tcBorders>
          </w:tcPr>
          <w:p w14:paraId="2707BE96" w14:textId="77777777" w:rsidR="00596E08" w:rsidRDefault="00596E08" w:rsidP="00086E34">
            <w:pPr>
              <w:jc w:val="both"/>
            </w:pPr>
            <w:r>
              <w:t xml:space="preserve">0.1 </w:t>
            </w:r>
          </w:p>
        </w:tc>
        <w:tc>
          <w:tcPr>
            <w:tcW w:w="1834" w:type="dxa"/>
            <w:tcBorders>
              <w:bottom w:val="single" w:sz="4" w:space="0" w:color="712BFA"/>
            </w:tcBorders>
          </w:tcPr>
          <w:p w14:paraId="6F273C5B" w14:textId="77777777" w:rsidR="00596E08" w:rsidRDefault="00596E08" w:rsidP="00086E34">
            <w:pPr>
              <w:jc w:val="both"/>
            </w:pPr>
            <w:r>
              <w:t>0.2</w:t>
            </w:r>
          </w:p>
        </w:tc>
        <w:tc>
          <w:tcPr>
            <w:tcW w:w="1834" w:type="dxa"/>
            <w:tcBorders>
              <w:bottom w:val="single" w:sz="4" w:space="0" w:color="712BFA"/>
            </w:tcBorders>
          </w:tcPr>
          <w:p w14:paraId="4F437448" w14:textId="77777777" w:rsidR="00596E08" w:rsidRDefault="00596E08" w:rsidP="00086E34">
            <w:pPr>
              <w:jc w:val="both"/>
            </w:pPr>
            <w:r>
              <w:t>0.3</w:t>
            </w:r>
          </w:p>
        </w:tc>
        <w:tc>
          <w:tcPr>
            <w:tcW w:w="1659" w:type="dxa"/>
            <w:tcBorders>
              <w:bottom w:val="single" w:sz="4" w:space="0" w:color="712BFA"/>
            </w:tcBorders>
            <w:shd w:val="clear" w:color="auto" w:fill="E6DAFE"/>
          </w:tcPr>
          <w:p w14:paraId="69D0C67F" w14:textId="77777777" w:rsidR="00596E08" w:rsidRDefault="00596E08" w:rsidP="00086E34">
            <w:pPr>
              <w:jc w:val="both"/>
            </w:pPr>
            <w:r>
              <w:t>0.4</w:t>
            </w:r>
          </w:p>
        </w:tc>
      </w:tr>
      <w:tr w:rsidR="00596E08" w14:paraId="6F0EC3DC" w14:textId="77777777" w:rsidTr="00086E34">
        <w:tc>
          <w:tcPr>
            <w:tcW w:w="1867" w:type="dxa"/>
            <w:tcBorders>
              <w:top w:val="single" w:sz="4" w:space="0" w:color="712BFA"/>
              <w:bottom w:val="single" w:sz="4" w:space="0" w:color="712BFA"/>
            </w:tcBorders>
            <w:shd w:val="clear" w:color="auto" w:fill="E9E9EB"/>
          </w:tcPr>
          <w:p w14:paraId="23299147" w14:textId="77777777" w:rsidR="00596E08" w:rsidRDefault="00596E08" w:rsidP="00086E34">
            <w:pPr>
              <w:jc w:val="both"/>
            </w:pPr>
            <w:r>
              <w:t>Data</w:t>
            </w:r>
          </w:p>
        </w:tc>
        <w:tc>
          <w:tcPr>
            <w:tcW w:w="1832" w:type="dxa"/>
            <w:tcBorders>
              <w:top w:val="single" w:sz="4" w:space="0" w:color="712BFA"/>
              <w:bottom w:val="single" w:sz="4" w:space="0" w:color="712BFA"/>
            </w:tcBorders>
          </w:tcPr>
          <w:p w14:paraId="0CB71787" w14:textId="77777777" w:rsidR="00596E08" w:rsidRDefault="00596E08" w:rsidP="00086E34">
            <w:pPr>
              <w:jc w:val="both"/>
            </w:pPr>
            <w:r>
              <w:t xml:space="preserve">0.1 </w:t>
            </w:r>
          </w:p>
        </w:tc>
        <w:tc>
          <w:tcPr>
            <w:tcW w:w="1834" w:type="dxa"/>
            <w:tcBorders>
              <w:top w:val="single" w:sz="4" w:space="0" w:color="712BFA"/>
              <w:bottom w:val="single" w:sz="4" w:space="0" w:color="712BFA"/>
            </w:tcBorders>
          </w:tcPr>
          <w:p w14:paraId="670E5B80" w14:textId="77777777" w:rsidR="00596E08" w:rsidRDefault="00596E08" w:rsidP="00086E34">
            <w:pPr>
              <w:jc w:val="both"/>
            </w:pPr>
            <w:r>
              <w:t>0.2</w:t>
            </w:r>
          </w:p>
        </w:tc>
        <w:tc>
          <w:tcPr>
            <w:tcW w:w="1834" w:type="dxa"/>
            <w:tcBorders>
              <w:top w:val="single" w:sz="4" w:space="0" w:color="712BFA"/>
              <w:bottom w:val="single" w:sz="4" w:space="0" w:color="712BFA"/>
            </w:tcBorders>
          </w:tcPr>
          <w:p w14:paraId="2CD925F4" w14:textId="77777777" w:rsidR="00596E08" w:rsidRDefault="00596E08" w:rsidP="00086E34">
            <w:pPr>
              <w:jc w:val="both"/>
            </w:pPr>
            <w:r>
              <w:t>0.3</w:t>
            </w:r>
          </w:p>
        </w:tc>
        <w:tc>
          <w:tcPr>
            <w:tcW w:w="1659" w:type="dxa"/>
            <w:tcBorders>
              <w:top w:val="single" w:sz="4" w:space="0" w:color="712BFA"/>
              <w:bottom w:val="single" w:sz="4" w:space="0" w:color="712BFA"/>
            </w:tcBorders>
            <w:shd w:val="clear" w:color="auto" w:fill="E6DAFE"/>
          </w:tcPr>
          <w:p w14:paraId="2191BD10" w14:textId="77777777" w:rsidR="00596E08" w:rsidRDefault="00596E08" w:rsidP="00086E34">
            <w:pPr>
              <w:jc w:val="both"/>
            </w:pPr>
            <w:r>
              <w:t>0.4</w:t>
            </w:r>
          </w:p>
        </w:tc>
      </w:tr>
      <w:tr w:rsidR="00596E08" w14:paraId="09E6BC17" w14:textId="77777777" w:rsidTr="00086E34">
        <w:tc>
          <w:tcPr>
            <w:tcW w:w="1867" w:type="dxa"/>
            <w:tcBorders>
              <w:top w:val="single" w:sz="4" w:space="0" w:color="712BFA"/>
              <w:bottom w:val="single" w:sz="4" w:space="0" w:color="712BFA"/>
            </w:tcBorders>
            <w:shd w:val="clear" w:color="auto" w:fill="E9E9EB"/>
          </w:tcPr>
          <w:p w14:paraId="247CBFD7" w14:textId="77777777" w:rsidR="00596E08" w:rsidRDefault="00596E08" w:rsidP="00086E34">
            <w:pPr>
              <w:jc w:val="both"/>
            </w:pPr>
            <w:r>
              <w:t>Data</w:t>
            </w:r>
          </w:p>
        </w:tc>
        <w:tc>
          <w:tcPr>
            <w:tcW w:w="1832" w:type="dxa"/>
            <w:tcBorders>
              <w:top w:val="single" w:sz="4" w:space="0" w:color="712BFA"/>
              <w:bottom w:val="single" w:sz="4" w:space="0" w:color="712BFA"/>
            </w:tcBorders>
          </w:tcPr>
          <w:p w14:paraId="60D86AC1" w14:textId="77777777" w:rsidR="00596E08" w:rsidRDefault="00596E08" w:rsidP="00086E34">
            <w:pPr>
              <w:jc w:val="both"/>
            </w:pPr>
            <w:r>
              <w:t xml:space="preserve">0.1 </w:t>
            </w:r>
          </w:p>
        </w:tc>
        <w:tc>
          <w:tcPr>
            <w:tcW w:w="1834" w:type="dxa"/>
            <w:tcBorders>
              <w:top w:val="single" w:sz="4" w:space="0" w:color="712BFA"/>
              <w:bottom w:val="single" w:sz="4" w:space="0" w:color="712BFA"/>
            </w:tcBorders>
          </w:tcPr>
          <w:p w14:paraId="69844B2C" w14:textId="77777777" w:rsidR="00596E08" w:rsidRDefault="00596E08" w:rsidP="00086E34">
            <w:pPr>
              <w:jc w:val="both"/>
            </w:pPr>
            <w:r>
              <w:t>0.2</w:t>
            </w:r>
          </w:p>
        </w:tc>
        <w:tc>
          <w:tcPr>
            <w:tcW w:w="1834" w:type="dxa"/>
            <w:tcBorders>
              <w:top w:val="single" w:sz="4" w:space="0" w:color="712BFA"/>
              <w:bottom w:val="single" w:sz="4" w:space="0" w:color="712BFA"/>
            </w:tcBorders>
          </w:tcPr>
          <w:p w14:paraId="1344C7C1" w14:textId="77777777" w:rsidR="00596E08" w:rsidRDefault="00596E08" w:rsidP="00086E34">
            <w:pPr>
              <w:jc w:val="both"/>
            </w:pPr>
            <w:r>
              <w:t>0.3</w:t>
            </w:r>
          </w:p>
        </w:tc>
        <w:tc>
          <w:tcPr>
            <w:tcW w:w="1659" w:type="dxa"/>
            <w:tcBorders>
              <w:top w:val="single" w:sz="4" w:space="0" w:color="712BFA"/>
              <w:bottom w:val="single" w:sz="4" w:space="0" w:color="712BFA"/>
            </w:tcBorders>
            <w:shd w:val="clear" w:color="auto" w:fill="E6DAFE"/>
          </w:tcPr>
          <w:p w14:paraId="50AFF8C0" w14:textId="77777777" w:rsidR="00596E08" w:rsidRDefault="00596E08" w:rsidP="00086E34">
            <w:pPr>
              <w:jc w:val="both"/>
            </w:pPr>
            <w:r>
              <w:t>0.4</w:t>
            </w:r>
          </w:p>
        </w:tc>
      </w:tr>
      <w:tr w:rsidR="00596E08" w14:paraId="2A21FF8A" w14:textId="77777777" w:rsidTr="00086E34">
        <w:tc>
          <w:tcPr>
            <w:tcW w:w="1867" w:type="dxa"/>
            <w:tcBorders>
              <w:top w:val="single" w:sz="4" w:space="0" w:color="712BFA"/>
              <w:bottom w:val="single" w:sz="4" w:space="0" w:color="712BFA"/>
            </w:tcBorders>
            <w:shd w:val="clear" w:color="auto" w:fill="E9E9EB"/>
          </w:tcPr>
          <w:p w14:paraId="73CA65C4" w14:textId="77777777" w:rsidR="00596E08" w:rsidRDefault="00596E08" w:rsidP="00086E34">
            <w:pPr>
              <w:jc w:val="both"/>
            </w:pPr>
            <w:r>
              <w:t>Data</w:t>
            </w:r>
          </w:p>
        </w:tc>
        <w:tc>
          <w:tcPr>
            <w:tcW w:w="1832" w:type="dxa"/>
            <w:tcBorders>
              <w:top w:val="single" w:sz="4" w:space="0" w:color="712BFA"/>
              <w:bottom w:val="single" w:sz="4" w:space="0" w:color="712BFA"/>
            </w:tcBorders>
          </w:tcPr>
          <w:p w14:paraId="36AEFEE0" w14:textId="77777777" w:rsidR="00596E08" w:rsidRDefault="00596E08" w:rsidP="00086E34">
            <w:pPr>
              <w:jc w:val="both"/>
            </w:pPr>
            <w:r>
              <w:t xml:space="preserve">0.1 </w:t>
            </w:r>
          </w:p>
        </w:tc>
        <w:tc>
          <w:tcPr>
            <w:tcW w:w="1834" w:type="dxa"/>
            <w:tcBorders>
              <w:top w:val="single" w:sz="4" w:space="0" w:color="712BFA"/>
              <w:bottom w:val="single" w:sz="4" w:space="0" w:color="712BFA"/>
            </w:tcBorders>
          </w:tcPr>
          <w:p w14:paraId="727495CA" w14:textId="77777777" w:rsidR="00596E08" w:rsidRDefault="00596E08" w:rsidP="00086E34">
            <w:pPr>
              <w:jc w:val="both"/>
            </w:pPr>
            <w:r>
              <w:t>0.2</w:t>
            </w:r>
          </w:p>
        </w:tc>
        <w:tc>
          <w:tcPr>
            <w:tcW w:w="1834" w:type="dxa"/>
            <w:tcBorders>
              <w:top w:val="single" w:sz="4" w:space="0" w:color="712BFA"/>
              <w:bottom w:val="single" w:sz="4" w:space="0" w:color="712BFA"/>
            </w:tcBorders>
          </w:tcPr>
          <w:p w14:paraId="7DA34BFB" w14:textId="77777777" w:rsidR="00596E08" w:rsidRDefault="00596E08" w:rsidP="00086E34">
            <w:pPr>
              <w:jc w:val="both"/>
            </w:pPr>
            <w:r>
              <w:t>0.3</w:t>
            </w:r>
          </w:p>
        </w:tc>
        <w:tc>
          <w:tcPr>
            <w:tcW w:w="1659" w:type="dxa"/>
            <w:tcBorders>
              <w:top w:val="single" w:sz="4" w:space="0" w:color="712BFA"/>
              <w:bottom w:val="single" w:sz="4" w:space="0" w:color="712BFA"/>
            </w:tcBorders>
            <w:shd w:val="clear" w:color="auto" w:fill="E6DAFE"/>
          </w:tcPr>
          <w:p w14:paraId="7CA6E812" w14:textId="77777777" w:rsidR="00596E08" w:rsidRDefault="00596E08" w:rsidP="00086E34">
            <w:pPr>
              <w:jc w:val="both"/>
            </w:pPr>
            <w:r>
              <w:t>0.4</w:t>
            </w:r>
          </w:p>
        </w:tc>
      </w:tr>
      <w:tr w:rsidR="00596E08" w14:paraId="25C3D200" w14:textId="77777777" w:rsidTr="00086E34">
        <w:tc>
          <w:tcPr>
            <w:tcW w:w="1867" w:type="dxa"/>
            <w:tcBorders>
              <w:top w:val="single" w:sz="4" w:space="0" w:color="712BFA"/>
              <w:bottom w:val="single" w:sz="4" w:space="0" w:color="712BFA"/>
            </w:tcBorders>
            <w:shd w:val="clear" w:color="auto" w:fill="E9E9EB"/>
          </w:tcPr>
          <w:p w14:paraId="7555147E" w14:textId="77777777" w:rsidR="00596E08" w:rsidRDefault="00596E08" w:rsidP="00086E34">
            <w:pPr>
              <w:jc w:val="both"/>
            </w:pPr>
            <w:r>
              <w:t xml:space="preserve">Data </w:t>
            </w:r>
          </w:p>
        </w:tc>
        <w:tc>
          <w:tcPr>
            <w:tcW w:w="1832" w:type="dxa"/>
            <w:tcBorders>
              <w:top w:val="single" w:sz="4" w:space="0" w:color="712BFA"/>
              <w:bottom w:val="single" w:sz="4" w:space="0" w:color="712BFA"/>
            </w:tcBorders>
          </w:tcPr>
          <w:p w14:paraId="5C000AED" w14:textId="77777777" w:rsidR="00596E08" w:rsidRDefault="00596E08" w:rsidP="00086E34">
            <w:pPr>
              <w:jc w:val="both"/>
            </w:pPr>
            <w:r>
              <w:t xml:space="preserve">0.1 </w:t>
            </w:r>
          </w:p>
        </w:tc>
        <w:tc>
          <w:tcPr>
            <w:tcW w:w="1834" w:type="dxa"/>
            <w:tcBorders>
              <w:top w:val="single" w:sz="4" w:space="0" w:color="712BFA"/>
              <w:bottom w:val="single" w:sz="4" w:space="0" w:color="712BFA"/>
            </w:tcBorders>
          </w:tcPr>
          <w:p w14:paraId="08B00855" w14:textId="77777777" w:rsidR="00596E08" w:rsidRDefault="00596E08" w:rsidP="00086E34">
            <w:pPr>
              <w:jc w:val="both"/>
            </w:pPr>
            <w:r>
              <w:t>0.2</w:t>
            </w:r>
          </w:p>
        </w:tc>
        <w:tc>
          <w:tcPr>
            <w:tcW w:w="1834" w:type="dxa"/>
            <w:tcBorders>
              <w:top w:val="single" w:sz="4" w:space="0" w:color="712BFA"/>
              <w:bottom w:val="single" w:sz="4" w:space="0" w:color="712BFA"/>
            </w:tcBorders>
          </w:tcPr>
          <w:p w14:paraId="643C5D5F" w14:textId="77777777" w:rsidR="00596E08" w:rsidRDefault="00596E08" w:rsidP="00086E34">
            <w:pPr>
              <w:jc w:val="both"/>
            </w:pPr>
            <w:r>
              <w:t>0.3</w:t>
            </w:r>
          </w:p>
        </w:tc>
        <w:tc>
          <w:tcPr>
            <w:tcW w:w="1659" w:type="dxa"/>
            <w:tcBorders>
              <w:top w:val="single" w:sz="4" w:space="0" w:color="712BFA"/>
              <w:bottom w:val="single" w:sz="4" w:space="0" w:color="712BFA"/>
            </w:tcBorders>
            <w:shd w:val="clear" w:color="auto" w:fill="E6DAFE"/>
          </w:tcPr>
          <w:p w14:paraId="7AD70410" w14:textId="77777777" w:rsidR="00596E08" w:rsidRDefault="00596E08" w:rsidP="00086E34">
            <w:pPr>
              <w:jc w:val="both"/>
            </w:pPr>
            <w:r>
              <w:t>0.4</w:t>
            </w:r>
          </w:p>
        </w:tc>
      </w:tr>
      <w:tr w:rsidR="00596E08" w14:paraId="7F7E421B" w14:textId="77777777" w:rsidTr="00086E34">
        <w:tc>
          <w:tcPr>
            <w:tcW w:w="1867" w:type="dxa"/>
            <w:tcBorders>
              <w:top w:val="single" w:sz="4" w:space="0" w:color="712BFA"/>
            </w:tcBorders>
          </w:tcPr>
          <w:p w14:paraId="645C0AF6" w14:textId="77777777" w:rsidR="00596E08" w:rsidRDefault="00596E08" w:rsidP="00086E34">
            <w:pPr>
              <w:jc w:val="both"/>
            </w:pPr>
          </w:p>
        </w:tc>
        <w:tc>
          <w:tcPr>
            <w:tcW w:w="1832" w:type="dxa"/>
            <w:tcBorders>
              <w:top w:val="single" w:sz="4" w:space="0" w:color="712BFA"/>
            </w:tcBorders>
          </w:tcPr>
          <w:p w14:paraId="3A1D6BB7" w14:textId="77777777" w:rsidR="00596E08" w:rsidRDefault="00596E08" w:rsidP="00086E34">
            <w:pPr>
              <w:jc w:val="both"/>
            </w:pPr>
          </w:p>
        </w:tc>
        <w:tc>
          <w:tcPr>
            <w:tcW w:w="1834" w:type="dxa"/>
            <w:tcBorders>
              <w:top w:val="single" w:sz="4" w:space="0" w:color="712BFA"/>
            </w:tcBorders>
          </w:tcPr>
          <w:p w14:paraId="15BA17FC" w14:textId="77777777" w:rsidR="00596E08" w:rsidRDefault="00596E08" w:rsidP="00086E34">
            <w:pPr>
              <w:jc w:val="both"/>
            </w:pPr>
          </w:p>
        </w:tc>
        <w:tc>
          <w:tcPr>
            <w:tcW w:w="1834" w:type="dxa"/>
            <w:tcBorders>
              <w:top w:val="single" w:sz="4" w:space="0" w:color="712BFA"/>
            </w:tcBorders>
          </w:tcPr>
          <w:p w14:paraId="1F36E37C" w14:textId="77777777" w:rsidR="00596E08" w:rsidRDefault="00596E08" w:rsidP="00086E34">
            <w:pPr>
              <w:jc w:val="both"/>
            </w:pPr>
          </w:p>
        </w:tc>
        <w:tc>
          <w:tcPr>
            <w:tcW w:w="1659" w:type="dxa"/>
            <w:tcBorders>
              <w:top w:val="single" w:sz="4" w:space="0" w:color="712BFA"/>
            </w:tcBorders>
          </w:tcPr>
          <w:p w14:paraId="17C1C3B9" w14:textId="77777777" w:rsidR="00596E08" w:rsidRDefault="00596E08" w:rsidP="00086E34">
            <w:pPr>
              <w:jc w:val="both"/>
            </w:pPr>
          </w:p>
        </w:tc>
      </w:tr>
    </w:tbl>
    <w:p w14:paraId="4C895F8D" w14:textId="77777777" w:rsidR="005551F0" w:rsidRPr="00F93FC5" w:rsidRDefault="005551F0" w:rsidP="00546766">
      <w:pPr>
        <w:pStyle w:val="Header1"/>
      </w:pPr>
      <w:r w:rsidRPr="00F93FC5">
        <w:t xml:space="preserve">DEVELOPMENT PROJECTS </w:t>
      </w:r>
    </w:p>
    <w:p w14:paraId="4D236FE6" w14:textId="77777777" w:rsidR="005551F0" w:rsidRPr="00F93FC5" w:rsidRDefault="005551F0" w:rsidP="00546766">
      <w:pPr>
        <w:pStyle w:val="Subheading1"/>
      </w:pPr>
      <w:r w:rsidRPr="00F93FC5">
        <w:t xml:space="preserve">MT CATTLIN </w:t>
      </w:r>
    </w:p>
    <w:p w14:paraId="6388B5ED" w14:textId="235D712A" w:rsidR="005551F0" w:rsidRPr="00546766" w:rsidRDefault="005551F0" w:rsidP="005551F0">
      <w:pPr>
        <w:pStyle w:val="Paragraph"/>
        <w:rPr>
          <w:b/>
          <w:bCs/>
        </w:rPr>
      </w:pPr>
      <w:r w:rsidRPr="00546766">
        <w:rPr>
          <w:b/>
          <w:bCs/>
        </w:rPr>
        <w:t xml:space="preserve">Spodumene concentrate </w:t>
      </w:r>
      <w:r w:rsidRPr="00546766">
        <w:rPr>
          <w:b/>
          <w:bCs/>
        </w:rPr>
        <w:tab/>
      </w:r>
      <w:r w:rsidRPr="00546766">
        <w:rPr>
          <w:b/>
          <w:bCs/>
        </w:rPr>
        <w:tab/>
      </w:r>
      <w:r w:rsidR="00546766">
        <w:rPr>
          <w:b/>
          <w:bCs/>
        </w:rPr>
        <w:tab/>
      </w:r>
      <w:r w:rsidR="00546766">
        <w:rPr>
          <w:b/>
          <w:bCs/>
        </w:rPr>
        <w:tab/>
      </w:r>
      <w:r w:rsidR="00546766">
        <w:rPr>
          <w:b/>
          <w:bCs/>
        </w:rPr>
        <w:tab/>
      </w:r>
      <w:r w:rsidR="00546766">
        <w:rPr>
          <w:b/>
          <w:bCs/>
        </w:rPr>
        <w:tab/>
      </w:r>
      <w:r w:rsidR="00546766">
        <w:rPr>
          <w:b/>
          <w:bCs/>
        </w:rPr>
        <w:tab/>
      </w:r>
      <w:r w:rsidRPr="00546766">
        <w:rPr>
          <w:b/>
          <w:bCs/>
        </w:rPr>
        <w:t>Western Australia</w:t>
      </w:r>
    </w:p>
    <w:p w14:paraId="0EB82A1B" w14:textId="77777777" w:rsidR="005551F0" w:rsidRPr="00F93FC5" w:rsidRDefault="005551F0" w:rsidP="005551F0">
      <w:pPr>
        <w:pStyle w:val="Paragraph"/>
      </w:pPr>
      <w:r w:rsidRPr="00F93FC5">
        <w:t>Production for the September quarter was 2,802 tonnes, up 19% from 2,352 tonnes in the previous corresponding period (PCP), with 58% of production being battery grade lithium carbonate. Production for the September quarter was 2,802 tonnes, up 19% from 2,352 tonnes in the previous corresponding period (PCP), with 58% of production being battery grade lithium carbonate.</w:t>
      </w:r>
    </w:p>
    <w:p w14:paraId="4489DAE9" w14:textId="46098CAA" w:rsidR="006B6727" w:rsidRDefault="006B6727" w:rsidP="006B6727">
      <w:pPr>
        <w:pStyle w:val="Figure"/>
      </w:pPr>
      <w:r w:rsidRPr="00DA109B">
        <w:t xml:space="preserve">Figure </w:t>
      </w:r>
      <w:fldSimple w:instr=" SEQ Figure \* ARABIC ">
        <w:r w:rsidRPr="00DA109B">
          <w:t>1</w:t>
        </w:r>
      </w:fldSimple>
      <w:r w:rsidRPr="00DA109B">
        <w:t>: Title of figure</w:t>
      </w:r>
    </w:p>
    <w:p w14:paraId="77661D29" w14:textId="77777777" w:rsidR="00A84DE7" w:rsidRDefault="00A84DE7" w:rsidP="006B6727">
      <w:pPr>
        <w:pStyle w:val="Figure"/>
      </w:pPr>
    </w:p>
    <w:p w14:paraId="1F988B66" w14:textId="75433574" w:rsidR="006B6727" w:rsidRPr="00DA109B" w:rsidRDefault="006F4CF0" w:rsidP="006B6727">
      <w:pPr>
        <w:pStyle w:val="Figure"/>
      </w:pPr>
      <w:r>
        <w:rPr>
          <w:b w:val="0"/>
          <w:bCs w:val="0"/>
          <w:noProof/>
        </w:rPr>
        <w:lastRenderedPageBreak/>
        <w:drawing>
          <wp:inline distT="0" distB="0" distL="0" distR="0" wp14:anchorId="2E669016" wp14:editId="2FB27A07">
            <wp:extent cx="3077436" cy="5731510"/>
            <wp:effectExtent l="635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rotWithShape="1">
                    <a:blip r:embed="rId11" cstate="print">
                      <a:extLst>
                        <a:ext uri="{28A0092B-C50C-407E-A947-70E740481C1C}">
                          <a14:useLocalDpi xmlns:a14="http://schemas.microsoft.com/office/drawing/2010/main" val="0"/>
                        </a:ext>
                      </a:extLst>
                    </a:blip>
                    <a:srcRect l="43058"/>
                    <a:stretch/>
                  </pic:blipFill>
                  <pic:spPr bwMode="auto">
                    <a:xfrm rot="16200000">
                      <a:off x="0" y="0"/>
                      <a:ext cx="3077436" cy="5731510"/>
                    </a:xfrm>
                    <a:prstGeom prst="rect">
                      <a:avLst/>
                    </a:prstGeom>
                    <a:ln>
                      <a:noFill/>
                    </a:ln>
                    <a:extLst>
                      <a:ext uri="{53640926-AAD7-44D8-BBD7-CCE9431645EC}">
                        <a14:shadowObscured xmlns:a14="http://schemas.microsoft.com/office/drawing/2010/main"/>
                      </a:ext>
                    </a:extLst>
                  </pic:spPr>
                </pic:pic>
              </a:graphicData>
            </a:graphic>
          </wp:inline>
        </w:drawing>
      </w:r>
    </w:p>
    <w:p w14:paraId="247B5C47" w14:textId="77777777" w:rsidR="004D2303" w:rsidRPr="00FB0D38" w:rsidRDefault="004D2303" w:rsidP="004D2303">
      <w:pPr>
        <w:pStyle w:val="Header1"/>
      </w:pPr>
      <w:r w:rsidRPr="00FB0D38">
        <w:t xml:space="preserve">CORPORATE </w:t>
      </w:r>
    </w:p>
    <w:p w14:paraId="2B8FE8BC" w14:textId="77777777" w:rsidR="004D2303" w:rsidRPr="00FB0D38" w:rsidRDefault="004D2303" w:rsidP="004D2303">
      <w:pPr>
        <w:pStyle w:val="Subheading1"/>
      </w:pPr>
      <w:r w:rsidRPr="00FB0D38">
        <w:t xml:space="preserve">Subheading </w:t>
      </w:r>
    </w:p>
    <w:p w14:paraId="4AE03F13" w14:textId="1DCE760B" w:rsidR="004D2303" w:rsidRDefault="004D2303" w:rsidP="004D2303">
      <w:pPr>
        <w:pStyle w:val="Paragraph"/>
      </w:pPr>
      <w:r w:rsidRPr="00FB0D38">
        <w:t>Production for the September quarter was 2,802 tonnes, up 19% from 2,352 tonnes in the previous corresponding period (PCP), with 58% of production being battery grade lithium carbonate.</w:t>
      </w:r>
    </w:p>
    <w:p w14:paraId="14935406" w14:textId="0DB2365F" w:rsidR="0067134D" w:rsidRPr="00FB0D38" w:rsidRDefault="0067134D" w:rsidP="004D2303">
      <w:pPr>
        <w:pStyle w:val="Paragraph"/>
      </w:pPr>
      <w:r w:rsidRPr="00EC1AB5">
        <w:rPr>
          <w:b/>
          <w:bCs/>
          <w:noProof/>
        </w:rPr>
        <w:drawing>
          <wp:inline distT="0" distB="0" distL="0" distR="0" wp14:anchorId="08DC8ED1" wp14:editId="670FB7A6">
            <wp:extent cx="5731510" cy="3851910"/>
            <wp:effectExtent l="0" t="0" r="254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851910"/>
                    </a:xfrm>
                    <a:prstGeom prst="rect">
                      <a:avLst/>
                    </a:prstGeom>
                    <a:noFill/>
                    <a:ln>
                      <a:noFill/>
                    </a:ln>
                  </pic:spPr>
                </pic:pic>
              </a:graphicData>
            </a:graphic>
          </wp:inline>
        </w:drawing>
      </w:r>
    </w:p>
    <w:p w14:paraId="418AF604" w14:textId="77777777" w:rsidR="00DA0374" w:rsidRPr="00195D7E" w:rsidRDefault="00DA0374" w:rsidP="00195D7E">
      <w:pPr>
        <w:pStyle w:val="Paragraph"/>
        <w:jc w:val="center"/>
        <w:rPr>
          <w:b/>
          <w:bCs/>
          <w:sz w:val="20"/>
          <w:szCs w:val="18"/>
        </w:rPr>
      </w:pPr>
      <w:r w:rsidRPr="00195D7E">
        <w:rPr>
          <w:b/>
          <w:bCs/>
          <w:sz w:val="20"/>
          <w:szCs w:val="18"/>
        </w:rPr>
        <w:t>ENDS</w:t>
      </w:r>
    </w:p>
    <w:p w14:paraId="0B0CCEF9" w14:textId="243BDAE5" w:rsidR="00DA0374" w:rsidRDefault="00DA0374" w:rsidP="00195D7E">
      <w:pPr>
        <w:pStyle w:val="Paragraph"/>
        <w:jc w:val="center"/>
        <w:rPr>
          <w:sz w:val="20"/>
          <w:szCs w:val="18"/>
        </w:rPr>
      </w:pPr>
      <w:r w:rsidRPr="00195D7E">
        <w:rPr>
          <w:sz w:val="20"/>
          <w:szCs w:val="18"/>
        </w:rPr>
        <w:t>This release was authorised by Mr Martin Perez de Solay, CEO and Managing Director of Allkem Limited.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4"/>
        <w:gridCol w:w="2052"/>
        <w:gridCol w:w="3260"/>
        <w:gridCol w:w="142"/>
        <w:gridCol w:w="1938"/>
      </w:tblGrid>
      <w:tr w:rsidR="002A00D7" w14:paraId="70937024" w14:textId="77777777" w:rsidTr="00086E34">
        <w:tc>
          <w:tcPr>
            <w:tcW w:w="1634" w:type="dxa"/>
            <w:shd w:val="clear" w:color="auto" w:fill="222539"/>
          </w:tcPr>
          <w:p w14:paraId="4271E560" w14:textId="77777777" w:rsidR="002A00D7" w:rsidRDefault="002A00D7" w:rsidP="00086E34">
            <w:r>
              <w:rPr>
                <w:noProof/>
              </w:rPr>
              <w:lastRenderedPageBreak/>
              <w:drawing>
                <wp:anchor distT="0" distB="0" distL="114300" distR="114300" simplePos="0" relativeHeight="251659264" behindDoc="0" locked="0" layoutInCell="1" allowOverlap="1" wp14:anchorId="7C77150B" wp14:editId="7789DB2D">
                  <wp:simplePos x="0" y="0"/>
                  <wp:positionH relativeFrom="column">
                    <wp:posOffset>200660</wp:posOffset>
                  </wp:positionH>
                  <wp:positionV relativeFrom="paragraph">
                    <wp:posOffset>233045</wp:posOffset>
                  </wp:positionV>
                  <wp:extent cx="571500" cy="451485"/>
                  <wp:effectExtent l="0" t="0" r="0" b="5715"/>
                  <wp:wrapSquare wrapText="bothSides"/>
                  <wp:docPr id="26" name="Picture 26"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A picture containing text, clipart&#10;&#10;Description automatically generated"/>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r="76508"/>
                          <a:stretch/>
                        </pic:blipFill>
                        <pic:spPr bwMode="auto">
                          <a:xfrm>
                            <a:off x="0" y="0"/>
                            <a:ext cx="571500" cy="4514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052" w:type="dxa"/>
            <w:shd w:val="clear" w:color="auto" w:fill="222539"/>
          </w:tcPr>
          <w:p w14:paraId="26796446" w14:textId="77777777" w:rsidR="002A00D7" w:rsidRDefault="002A00D7" w:rsidP="00086E34">
            <w:pPr>
              <w:spacing w:before="120" w:after="120"/>
              <w:rPr>
                <w:b/>
                <w:bCs/>
              </w:rPr>
            </w:pPr>
            <w:r>
              <w:rPr>
                <w:b/>
                <w:bCs/>
              </w:rPr>
              <w:t>Allkem Limited</w:t>
            </w:r>
          </w:p>
          <w:p w14:paraId="1A08A773" w14:textId="77777777" w:rsidR="002A00D7" w:rsidRPr="0006587A" w:rsidRDefault="002A00D7" w:rsidP="00086E34">
            <w:pPr>
              <w:spacing w:after="120"/>
              <w:rPr>
                <w:sz w:val="16"/>
                <w:szCs w:val="18"/>
              </w:rPr>
            </w:pPr>
            <w:r w:rsidRPr="0006587A">
              <w:rPr>
                <w:sz w:val="16"/>
                <w:szCs w:val="18"/>
              </w:rPr>
              <w:t xml:space="preserve">ABN 31 112 589 910 </w:t>
            </w:r>
          </w:p>
          <w:p w14:paraId="590CAE55" w14:textId="77777777" w:rsidR="002A00D7" w:rsidRPr="0006587A" w:rsidRDefault="002A00D7" w:rsidP="00086E34">
            <w:pPr>
              <w:rPr>
                <w:sz w:val="16"/>
                <w:szCs w:val="18"/>
              </w:rPr>
            </w:pPr>
            <w:r w:rsidRPr="0006587A">
              <w:rPr>
                <w:sz w:val="16"/>
                <w:szCs w:val="18"/>
              </w:rPr>
              <w:t>L</w:t>
            </w:r>
            <w:r>
              <w:rPr>
                <w:sz w:val="16"/>
                <w:szCs w:val="18"/>
              </w:rPr>
              <w:t xml:space="preserve">evel </w:t>
            </w:r>
            <w:r w:rsidRPr="0006587A">
              <w:rPr>
                <w:sz w:val="16"/>
                <w:szCs w:val="18"/>
              </w:rPr>
              <w:t>35, 71 Eagle St</w:t>
            </w:r>
          </w:p>
          <w:p w14:paraId="5688DEA0" w14:textId="77777777" w:rsidR="002A00D7" w:rsidRPr="0013082E" w:rsidRDefault="002A00D7" w:rsidP="00086E34">
            <w:pPr>
              <w:rPr>
                <w:b/>
                <w:bCs/>
              </w:rPr>
            </w:pPr>
            <w:r w:rsidRPr="0006587A">
              <w:rPr>
                <w:sz w:val="16"/>
                <w:szCs w:val="18"/>
              </w:rPr>
              <w:t>Brisbane, QLD 4000</w:t>
            </w:r>
          </w:p>
        </w:tc>
        <w:tc>
          <w:tcPr>
            <w:tcW w:w="3260" w:type="dxa"/>
            <w:shd w:val="clear" w:color="auto" w:fill="E9E9EB"/>
          </w:tcPr>
          <w:p w14:paraId="5BD1819B" w14:textId="77777777" w:rsidR="002A00D7" w:rsidRPr="00AB2809" w:rsidRDefault="002A00D7" w:rsidP="00086E34">
            <w:pPr>
              <w:spacing w:before="120"/>
              <w:ind w:left="170"/>
              <w:rPr>
                <w:b/>
                <w:bCs/>
                <w:sz w:val="18"/>
                <w:szCs w:val="20"/>
              </w:rPr>
            </w:pPr>
            <w:r w:rsidRPr="00AB2809">
              <w:rPr>
                <w:b/>
                <w:bCs/>
                <w:sz w:val="18"/>
                <w:szCs w:val="20"/>
              </w:rPr>
              <w:t xml:space="preserve">Investor Relations </w:t>
            </w:r>
            <w:r>
              <w:rPr>
                <w:b/>
                <w:bCs/>
                <w:sz w:val="18"/>
                <w:szCs w:val="20"/>
              </w:rPr>
              <w:t>&amp; Media Enquiries</w:t>
            </w:r>
          </w:p>
          <w:p w14:paraId="0F65FD37" w14:textId="77777777" w:rsidR="002A00D7" w:rsidRPr="00AB2809" w:rsidRDefault="002A00D7" w:rsidP="00086E34">
            <w:pPr>
              <w:ind w:left="170"/>
              <w:rPr>
                <w:sz w:val="18"/>
                <w:szCs w:val="20"/>
              </w:rPr>
            </w:pPr>
            <w:r w:rsidRPr="00AB2809">
              <w:rPr>
                <w:sz w:val="18"/>
                <w:szCs w:val="20"/>
              </w:rPr>
              <w:t xml:space="preserve">Andrew Barber </w:t>
            </w:r>
          </w:p>
          <w:p w14:paraId="56AFDBA7" w14:textId="77777777" w:rsidR="002A00D7" w:rsidRPr="00AB2809" w:rsidRDefault="002A00D7" w:rsidP="00086E34">
            <w:pPr>
              <w:ind w:left="170"/>
              <w:rPr>
                <w:sz w:val="18"/>
                <w:szCs w:val="20"/>
              </w:rPr>
            </w:pPr>
            <w:r w:rsidRPr="00AB2809">
              <w:rPr>
                <w:sz w:val="18"/>
                <w:szCs w:val="20"/>
              </w:rPr>
              <w:t>+61 418 783 701</w:t>
            </w:r>
          </w:p>
          <w:p w14:paraId="338A8A1C" w14:textId="77777777" w:rsidR="002A00D7" w:rsidRPr="00AB2809" w:rsidRDefault="006D50A0" w:rsidP="00086E34">
            <w:pPr>
              <w:ind w:left="170"/>
              <w:rPr>
                <w:sz w:val="18"/>
                <w:szCs w:val="20"/>
              </w:rPr>
            </w:pPr>
            <w:hyperlink r:id="rId14" w:history="1">
              <w:r w:rsidR="002A00D7" w:rsidRPr="00AB2809">
                <w:rPr>
                  <w:rStyle w:val="Hyperlink"/>
                  <w:sz w:val="18"/>
                  <w:szCs w:val="20"/>
                </w:rPr>
                <w:t>Andrew.barber@allkem.co</w:t>
              </w:r>
            </w:hyperlink>
          </w:p>
        </w:tc>
        <w:tc>
          <w:tcPr>
            <w:tcW w:w="2080" w:type="dxa"/>
            <w:gridSpan w:val="2"/>
            <w:shd w:val="clear" w:color="auto" w:fill="E9E9EB"/>
          </w:tcPr>
          <w:p w14:paraId="64E111FC" w14:textId="77777777" w:rsidR="002A00D7" w:rsidRPr="00AB2809" w:rsidRDefault="002A00D7" w:rsidP="00086E34">
            <w:pPr>
              <w:spacing w:before="120"/>
              <w:jc w:val="right"/>
              <w:rPr>
                <w:b/>
                <w:bCs/>
                <w:sz w:val="18"/>
                <w:szCs w:val="20"/>
              </w:rPr>
            </w:pPr>
            <w:r w:rsidRPr="00AB2809">
              <w:rPr>
                <w:b/>
                <w:bCs/>
                <w:sz w:val="18"/>
                <w:szCs w:val="20"/>
              </w:rPr>
              <w:t xml:space="preserve">Connect </w:t>
            </w:r>
          </w:p>
          <w:p w14:paraId="297BEB22" w14:textId="77777777" w:rsidR="002A00D7" w:rsidRPr="00AB2809" w:rsidRDefault="006D50A0" w:rsidP="00086E34">
            <w:pPr>
              <w:jc w:val="right"/>
              <w:rPr>
                <w:sz w:val="18"/>
                <w:szCs w:val="20"/>
              </w:rPr>
            </w:pPr>
            <w:hyperlink r:id="rId15" w:history="1">
              <w:r w:rsidR="002A00D7" w:rsidRPr="00AB2809">
                <w:rPr>
                  <w:rStyle w:val="Hyperlink"/>
                  <w:sz w:val="18"/>
                  <w:szCs w:val="20"/>
                </w:rPr>
                <w:t>info@allkem.co</w:t>
              </w:r>
            </w:hyperlink>
          </w:p>
          <w:p w14:paraId="11F83120" w14:textId="0E649D4E" w:rsidR="002A00D7" w:rsidRPr="000C6E07" w:rsidRDefault="002A00D7" w:rsidP="00086E34">
            <w:pPr>
              <w:jc w:val="right"/>
              <w:rPr>
                <w:color w:val="222539"/>
                <w:sz w:val="18"/>
                <w:szCs w:val="20"/>
              </w:rPr>
            </w:pPr>
            <w:r>
              <w:rPr>
                <w:color w:val="222539"/>
                <w:sz w:val="18"/>
                <w:szCs w:val="20"/>
              </w:rPr>
              <w:t xml:space="preserve">+61 7 </w:t>
            </w:r>
            <w:r w:rsidR="009921C6">
              <w:rPr>
                <w:color w:val="222539"/>
                <w:sz w:val="18"/>
                <w:szCs w:val="20"/>
              </w:rPr>
              <w:t>3064 3600</w:t>
            </w:r>
          </w:p>
          <w:p w14:paraId="79814DD2" w14:textId="77777777" w:rsidR="002A00D7" w:rsidRPr="00AB2809" w:rsidRDefault="006D50A0" w:rsidP="00086E34">
            <w:pPr>
              <w:jc w:val="right"/>
              <w:rPr>
                <w:sz w:val="18"/>
                <w:szCs w:val="20"/>
              </w:rPr>
            </w:pPr>
            <w:hyperlink r:id="rId16" w:history="1">
              <w:r w:rsidR="002A00D7" w:rsidRPr="00AB2809">
                <w:rPr>
                  <w:rStyle w:val="Hyperlink"/>
                  <w:sz w:val="18"/>
                  <w:szCs w:val="20"/>
                </w:rPr>
                <w:t>www.allkem.co</w:t>
              </w:r>
            </w:hyperlink>
            <w:r w:rsidR="002A00D7" w:rsidRPr="00AB2809">
              <w:rPr>
                <w:sz w:val="18"/>
                <w:szCs w:val="20"/>
              </w:rPr>
              <w:t xml:space="preserve"> </w:t>
            </w:r>
          </w:p>
        </w:tc>
      </w:tr>
      <w:tr w:rsidR="002A00D7" w14:paraId="719501E8" w14:textId="77777777" w:rsidTr="00086E34">
        <w:trPr>
          <w:trHeight w:val="49"/>
        </w:trPr>
        <w:tc>
          <w:tcPr>
            <w:tcW w:w="1634" w:type="dxa"/>
            <w:shd w:val="clear" w:color="auto" w:fill="222539"/>
          </w:tcPr>
          <w:p w14:paraId="634202D9" w14:textId="77777777" w:rsidR="002A00D7" w:rsidRDefault="002A00D7" w:rsidP="00086E34"/>
        </w:tc>
        <w:tc>
          <w:tcPr>
            <w:tcW w:w="2052" w:type="dxa"/>
            <w:shd w:val="clear" w:color="auto" w:fill="222539"/>
          </w:tcPr>
          <w:p w14:paraId="76741CB7" w14:textId="77777777" w:rsidR="002A00D7" w:rsidRDefault="002A00D7" w:rsidP="00086E34"/>
        </w:tc>
        <w:tc>
          <w:tcPr>
            <w:tcW w:w="3402" w:type="dxa"/>
            <w:gridSpan w:val="2"/>
            <w:shd w:val="clear" w:color="auto" w:fill="FF3D57"/>
          </w:tcPr>
          <w:p w14:paraId="5F7E892C" w14:textId="77777777" w:rsidR="002A00D7" w:rsidRPr="00AB2809" w:rsidRDefault="002A00D7" w:rsidP="00086E34">
            <w:pPr>
              <w:rPr>
                <w:sz w:val="14"/>
                <w:szCs w:val="16"/>
              </w:rPr>
            </w:pPr>
          </w:p>
        </w:tc>
        <w:tc>
          <w:tcPr>
            <w:tcW w:w="1938" w:type="dxa"/>
            <w:shd w:val="clear" w:color="auto" w:fill="712BFA"/>
          </w:tcPr>
          <w:p w14:paraId="14613E05" w14:textId="3DD7167D" w:rsidR="002A00D7" w:rsidRPr="00AB2809" w:rsidRDefault="00F27F6A" w:rsidP="00E228D6">
            <w:pPr>
              <w:jc w:val="right"/>
              <w:rPr>
                <w:sz w:val="14"/>
                <w:szCs w:val="16"/>
              </w:rPr>
            </w:pPr>
            <w:r>
              <w:rPr>
                <w:sz w:val="14"/>
                <w:szCs w:val="16"/>
              </w:rPr>
              <w:t xml:space="preserve"> </w:t>
            </w:r>
            <w:r w:rsidR="00E228D6">
              <w:rPr>
                <w:noProof/>
                <w:sz w:val="14"/>
                <w:szCs w:val="16"/>
              </w:rPr>
              <w:drawing>
                <wp:inline distT="0" distB="0" distL="0" distR="0" wp14:anchorId="5F0B2227" wp14:editId="3E43AA65">
                  <wp:extent cx="144000" cy="144000"/>
                  <wp:effectExtent l="0" t="0" r="8890" b="8890"/>
                  <wp:docPr id="1" name="Picture 1" descr="Text,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icon&#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rsidR="00E228D6">
              <w:rPr>
                <w:sz w:val="14"/>
                <w:szCs w:val="16"/>
              </w:rPr>
              <w:t xml:space="preserve"> </w:t>
            </w:r>
            <w:r>
              <w:rPr>
                <w:noProof/>
                <w:sz w:val="14"/>
                <w:szCs w:val="16"/>
              </w:rPr>
              <w:drawing>
                <wp:inline distT="0" distB="0" distL="0" distR="0" wp14:anchorId="27BEC081" wp14:editId="022FDC0A">
                  <wp:extent cx="144000" cy="144000"/>
                  <wp:effectExtent l="0" t="0" r="8890" b="8890"/>
                  <wp:docPr id="2"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rPr>
                <w:sz w:val="14"/>
                <w:szCs w:val="16"/>
              </w:rPr>
              <w:t xml:space="preserve"> </w:t>
            </w:r>
            <w:r>
              <w:rPr>
                <w:noProof/>
                <w:sz w:val="14"/>
                <w:szCs w:val="16"/>
              </w:rPr>
              <w:drawing>
                <wp:inline distT="0" distB="0" distL="0" distR="0" wp14:anchorId="4D12EE32" wp14:editId="47206E93">
                  <wp:extent cx="144000" cy="144000"/>
                  <wp:effectExtent l="0" t="0" r="8890" b="8890"/>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rPr>
                <w:sz w:val="14"/>
                <w:szCs w:val="16"/>
              </w:rPr>
              <w:t xml:space="preserve"> </w:t>
            </w:r>
            <w:r>
              <w:rPr>
                <w:noProof/>
                <w:sz w:val="14"/>
                <w:szCs w:val="16"/>
              </w:rPr>
              <w:drawing>
                <wp:inline distT="0" distB="0" distL="0" distR="0" wp14:anchorId="7F869232" wp14:editId="3FA9D5B9">
                  <wp:extent cx="144000" cy="144000"/>
                  <wp:effectExtent l="0" t="0" r="8890" b="8890"/>
                  <wp:docPr id="8" name="Picture 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Icon&#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bl>
    <w:p w14:paraId="27494F3F" w14:textId="20E3CF59" w:rsidR="002A00D7" w:rsidRDefault="002A00D7" w:rsidP="00195D7E">
      <w:pPr>
        <w:pStyle w:val="Paragraph"/>
        <w:jc w:val="center"/>
        <w:rPr>
          <w:sz w:val="20"/>
          <w:szCs w:val="18"/>
        </w:rPr>
      </w:pPr>
    </w:p>
    <w:p w14:paraId="48EED199" w14:textId="66551F1B" w:rsidR="00006529" w:rsidRPr="00FA07E9" w:rsidRDefault="00006529" w:rsidP="00006529">
      <w:pPr>
        <w:pStyle w:val="Header1"/>
      </w:pPr>
      <w:r w:rsidRPr="00FA07E9">
        <w:t>IMPORTANT NOTICES</w:t>
      </w:r>
    </w:p>
    <w:p w14:paraId="0CEBB6BF" w14:textId="77777777" w:rsidR="00006529" w:rsidRPr="00006529" w:rsidRDefault="00006529" w:rsidP="00006529">
      <w:pPr>
        <w:pStyle w:val="Paragraph"/>
        <w:rPr>
          <w:sz w:val="20"/>
          <w:szCs w:val="18"/>
        </w:rPr>
      </w:pPr>
      <w:r w:rsidRPr="00006529">
        <w:rPr>
          <w:sz w:val="20"/>
          <w:szCs w:val="18"/>
        </w:rPr>
        <w:t xml:space="preserve">This investor ASX/TSX release (Release) has been prepared by Allkem Limited (ACN 112 589 910) (the Company or Allkem). It contains general information about the Company as at the date of this Release. The information in this Release should not </w:t>
      </w:r>
      <w:proofErr w:type="gramStart"/>
      <w:r w:rsidRPr="00006529">
        <w:rPr>
          <w:sz w:val="20"/>
          <w:szCs w:val="18"/>
        </w:rPr>
        <w:t>be considered to be</w:t>
      </w:r>
      <w:proofErr w:type="gramEnd"/>
      <w:r w:rsidRPr="00006529">
        <w:rPr>
          <w:sz w:val="20"/>
          <w:szCs w:val="18"/>
        </w:rPr>
        <w:t xml:space="preserve"> comprehensive or to comprise all of the material which a shareholder or potential investor in the Company may require in order to determine whether to deal in Shares of Allkem. The information in this Release is of a general nature only and does not purport to be complete. It should be read in conjunction with the Company’s periodic and continuous disclosure announcements which are available at www.orocobre.com and with the Australian Securities Exchange (ASX) announcements, which are available at www.asx.com.au. </w:t>
      </w:r>
    </w:p>
    <w:p w14:paraId="49CE80E6" w14:textId="77777777" w:rsidR="00006529" w:rsidRPr="00006529" w:rsidRDefault="00006529" w:rsidP="00006529">
      <w:pPr>
        <w:pStyle w:val="Paragraph"/>
        <w:rPr>
          <w:sz w:val="20"/>
          <w:szCs w:val="18"/>
        </w:rPr>
      </w:pPr>
      <w:r w:rsidRPr="00006529">
        <w:rPr>
          <w:sz w:val="20"/>
          <w:szCs w:val="18"/>
        </w:rPr>
        <w:t xml:space="preserve">This Release does not </w:t>
      </w:r>
      <w:proofErr w:type="gramStart"/>
      <w:r w:rsidRPr="00006529">
        <w:rPr>
          <w:sz w:val="20"/>
          <w:szCs w:val="18"/>
        </w:rPr>
        <w:t>take into account</w:t>
      </w:r>
      <w:proofErr w:type="gramEnd"/>
      <w:r w:rsidRPr="00006529">
        <w:rPr>
          <w:sz w:val="20"/>
          <w:szCs w:val="18"/>
        </w:rPr>
        <w:t xml:space="preserve"> the financial situation, investment objectives, tax situation or particular needs of any person and nothing contained in this Release constitutes investment, legal, tax, accounting or other advice, nor does it contain all the information which would be required in a disclosure document or prospectus prepared in accordance with the requirements of the Corporations Act 2001 (</w:t>
      </w:r>
      <w:proofErr w:type="spellStart"/>
      <w:r w:rsidRPr="00006529">
        <w:rPr>
          <w:sz w:val="20"/>
          <w:szCs w:val="18"/>
        </w:rPr>
        <w:t>Cth</w:t>
      </w:r>
      <w:proofErr w:type="spellEnd"/>
      <w:r w:rsidRPr="00006529">
        <w:rPr>
          <w:sz w:val="20"/>
          <w:szCs w:val="18"/>
        </w:rPr>
        <w:t xml:space="preserve">) (Corporations Act). Readers or recipients of this Release should, before making any decisions in relation to their investment or potential investment in the Company, consider the appropriateness of the information having regard to their own individual investment objectives and financial situation and seek their own professional investment, legal, taxation and accounting advice appropriate to their </w:t>
      </w:r>
      <w:proofErr w:type="gramStart"/>
      <w:r w:rsidRPr="00006529">
        <w:rPr>
          <w:sz w:val="20"/>
          <w:szCs w:val="18"/>
        </w:rPr>
        <w:t>particular circumstances</w:t>
      </w:r>
      <w:proofErr w:type="gramEnd"/>
      <w:r w:rsidRPr="00006529">
        <w:rPr>
          <w:sz w:val="20"/>
          <w:szCs w:val="18"/>
        </w:rPr>
        <w:t xml:space="preserve">. </w:t>
      </w:r>
    </w:p>
    <w:p w14:paraId="1233C449" w14:textId="77777777" w:rsidR="00006529" w:rsidRPr="00006529" w:rsidRDefault="00006529" w:rsidP="00006529">
      <w:pPr>
        <w:pStyle w:val="Paragraph"/>
        <w:rPr>
          <w:sz w:val="20"/>
          <w:szCs w:val="18"/>
        </w:rPr>
      </w:pPr>
      <w:r w:rsidRPr="00006529">
        <w:rPr>
          <w:sz w:val="20"/>
          <w:szCs w:val="18"/>
        </w:rPr>
        <w:t xml:space="preserve">This Release does not constitute or form part of any offer, invitation, </w:t>
      </w:r>
      <w:proofErr w:type="gramStart"/>
      <w:r w:rsidRPr="00006529">
        <w:rPr>
          <w:sz w:val="20"/>
          <w:szCs w:val="18"/>
        </w:rPr>
        <w:t>solicitation</w:t>
      </w:r>
      <w:proofErr w:type="gramEnd"/>
      <w:r w:rsidRPr="00006529">
        <w:rPr>
          <w:sz w:val="20"/>
          <w:szCs w:val="18"/>
        </w:rPr>
        <w:t xml:space="preserve"> or recommendation to acquire, purchase, subscribe for, sell or otherwise dispose of, or issue, any Shares or any other financial product. Further, this Release does not constitute financial product, investment advice (nor tax, </w:t>
      </w:r>
      <w:proofErr w:type="gramStart"/>
      <w:r w:rsidRPr="00006529">
        <w:rPr>
          <w:sz w:val="20"/>
          <w:szCs w:val="18"/>
        </w:rPr>
        <w:t>accounting</w:t>
      </w:r>
      <w:proofErr w:type="gramEnd"/>
      <w:r w:rsidRPr="00006529">
        <w:rPr>
          <w:sz w:val="20"/>
          <w:szCs w:val="18"/>
        </w:rPr>
        <w:t xml:space="preserve"> or legal advice) or recommendation, nor shall it or any part of it or the fact of its distribution form the basis of, or be relied on in connection with, any contract or investment decision. The distribution of this Release in other jurisdictions outside Australia may also be restricted by law and any restrictions should be observed. Any failure to comply with such restrictions may constitute a violation of applicable securities laws. See the section of this Release entitled "International Selling Restrictions". By accepting this Release, you warrant and represent that you are entitled to receive this Release in accordance with the above restrictions and agree to be bound by the limitations therein. Past performance information given in this Release is given for illustrative purposes only and should not be relied upon as (and is not) an indication of future performance. </w:t>
      </w:r>
    </w:p>
    <w:p w14:paraId="377FB240" w14:textId="0E778E17" w:rsidR="003F1A02" w:rsidRPr="00333D62" w:rsidRDefault="00006529" w:rsidP="00006529">
      <w:pPr>
        <w:pStyle w:val="Paragraph"/>
        <w:rPr>
          <w:sz w:val="20"/>
          <w:szCs w:val="18"/>
        </w:rPr>
      </w:pPr>
      <w:r w:rsidRPr="00006529">
        <w:rPr>
          <w:sz w:val="20"/>
          <w:szCs w:val="18"/>
        </w:rPr>
        <w:t xml:space="preserve">Forward-looking statements are based on current expectations and beliefs and, by their nature, are subject to a number of known and unknown risks and uncertainties that could cause the actual results, performances and achievements to differ materially from any expected future results, performances or achievements expressed or implied by such forward-looking statements, including but not limited to, the risk of further changes in government regulations, policies or legislation; the risks associated with the continued implementation of the merger between the Company and Galaxy Resources Ltd (the Merger), risks that further funding may be required, but unavailable, for the ongoing development of the Company’s projects including those projects acquired in the Merger; fluctuations or decreases in commodity prices; uncertainty in the estimation, economic viability, recoverability and processing of mineral resources; risks associated with development of the Company Projects including those projects acquired by the Company as a result of the Merger; unexpected capital or operating cost increases; uncertainty of meeting anticipated program milestones at the </w:t>
      </w:r>
      <w:proofErr w:type="spellStart"/>
      <w:r w:rsidRPr="00006529">
        <w:rPr>
          <w:sz w:val="20"/>
          <w:szCs w:val="18"/>
        </w:rPr>
        <w:t>Olaroz</w:t>
      </w:r>
      <w:proofErr w:type="spellEnd"/>
      <w:r w:rsidRPr="00006529">
        <w:rPr>
          <w:sz w:val="20"/>
          <w:szCs w:val="18"/>
        </w:rPr>
        <w:t xml:space="preserve"> Project or the other Company Projects including those projects acquired by the Company as a result of the Merger; risks associated with investment in publicly listed companies, such as the Company; risks associated with general economic conditions; the risk that the historical estimates for Borax Argentina’s properties that were prepared </w:t>
      </w:r>
      <w:r w:rsidRPr="00006529">
        <w:rPr>
          <w:sz w:val="20"/>
          <w:szCs w:val="18"/>
        </w:rPr>
        <w:lastRenderedPageBreak/>
        <w:t xml:space="preserve">by Rio Tinto, Borax Argentina and/or their respective consultants (including the size and grade of the resources) are incorrect in any material respect; as well as those factors disclosed in the Company’s Annual Report for the financial year ended 30 June 2021 and Sustainability Report 2020 available on the ASX website and at www.sedar.com. Certain statements in this Release are forward-looking statements. You can identify these statements by the fact that they use words such as “anticipate”, “estimate”, “expect”, “project”, “intend”, “plan”, “believe”, “target”, “may”, “assume”, "should", "could", "predict", "propose", "forecast", "outlook" and words of similar import. Indications of, and guidance on, future earnings and financial position and performance are also forward-looking statements. Forward-looking information may include, but is not limited to, the successful ramp-up and/or continued production rates of the </w:t>
      </w:r>
      <w:proofErr w:type="spellStart"/>
      <w:r w:rsidRPr="00006529">
        <w:rPr>
          <w:sz w:val="20"/>
          <w:szCs w:val="18"/>
        </w:rPr>
        <w:t>Olaroz</w:t>
      </w:r>
      <w:proofErr w:type="spellEnd"/>
      <w:r w:rsidRPr="00006529">
        <w:rPr>
          <w:sz w:val="20"/>
          <w:szCs w:val="18"/>
        </w:rPr>
        <w:t xml:space="preserve"> Lithium Project (</w:t>
      </w:r>
      <w:proofErr w:type="spellStart"/>
      <w:r w:rsidRPr="00006529">
        <w:rPr>
          <w:sz w:val="20"/>
          <w:szCs w:val="18"/>
        </w:rPr>
        <w:t>Olaroz</w:t>
      </w:r>
      <w:proofErr w:type="spellEnd"/>
      <w:r w:rsidRPr="00006529">
        <w:rPr>
          <w:sz w:val="20"/>
          <w:szCs w:val="18"/>
        </w:rPr>
        <w:t xml:space="preserve"> Project), the Sal de Vida Lithium Project (Sal de Vida Project), the Mt Cattlin Spodumene Project (Mt Cattlin Project), the James Bay Spodumene Project (James Bay Project) and the </w:t>
      </w:r>
      <w:proofErr w:type="spellStart"/>
      <w:r w:rsidRPr="00006529">
        <w:rPr>
          <w:sz w:val="20"/>
          <w:szCs w:val="18"/>
        </w:rPr>
        <w:t>Naraha</w:t>
      </w:r>
      <w:proofErr w:type="spellEnd"/>
      <w:r w:rsidRPr="00006529">
        <w:rPr>
          <w:sz w:val="20"/>
          <w:szCs w:val="18"/>
        </w:rPr>
        <w:t xml:space="preserve"> Lithium Hydroxide Project (</w:t>
      </w:r>
      <w:proofErr w:type="spellStart"/>
      <w:r w:rsidRPr="00006529">
        <w:rPr>
          <w:sz w:val="20"/>
          <w:szCs w:val="18"/>
        </w:rPr>
        <w:t>Naraha</w:t>
      </w:r>
      <w:proofErr w:type="spellEnd"/>
      <w:r w:rsidRPr="00006529">
        <w:rPr>
          <w:sz w:val="20"/>
          <w:szCs w:val="18"/>
        </w:rPr>
        <w:t xml:space="preserve"> Project), (together the Company Projects) and the timing 12 thereof; the design production rate for lithium carbonate at the </w:t>
      </w:r>
      <w:proofErr w:type="spellStart"/>
      <w:r w:rsidRPr="00006529">
        <w:rPr>
          <w:sz w:val="20"/>
          <w:szCs w:val="18"/>
        </w:rPr>
        <w:t>Olaroz</w:t>
      </w:r>
      <w:proofErr w:type="spellEnd"/>
      <w:r w:rsidRPr="00006529">
        <w:rPr>
          <w:sz w:val="20"/>
          <w:szCs w:val="18"/>
        </w:rPr>
        <w:t xml:space="preserve"> Project and Sal de Vida Project; the expected brine grade at the </w:t>
      </w:r>
      <w:proofErr w:type="spellStart"/>
      <w:r w:rsidRPr="00006529">
        <w:rPr>
          <w:sz w:val="20"/>
          <w:szCs w:val="18"/>
        </w:rPr>
        <w:t>Olaroz</w:t>
      </w:r>
      <w:proofErr w:type="spellEnd"/>
      <w:r w:rsidRPr="00006529">
        <w:rPr>
          <w:sz w:val="20"/>
          <w:szCs w:val="18"/>
        </w:rPr>
        <w:t xml:space="preserve"> Project and the Sal de Vida Project; the expected spodumene grade at the James Bay Project and Mt Cattlin Project expansion; the future financial and operating performances, including production, rates of return, operating costs and capital costs of and cash flows resulting from each of the Company Projects; the comparison of such expected costs to expected global operating costs; the ongoing working relationship between Orocobre and the Provinces of Jujuy, Salta and Catamarca in Argentina; the ongoing working relationship between Orocobre and the </w:t>
      </w:r>
      <w:proofErr w:type="spellStart"/>
      <w:r w:rsidRPr="00006529">
        <w:rPr>
          <w:sz w:val="20"/>
          <w:szCs w:val="18"/>
        </w:rPr>
        <w:t>Olaroz</w:t>
      </w:r>
      <w:proofErr w:type="spellEnd"/>
      <w:r w:rsidRPr="00006529">
        <w:rPr>
          <w:sz w:val="20"/>
          <w:szCs w:val="18"/>
        </w:rPr>
        <w:t xml:space="preserve"> Project's financiers, being Mizuho Bank and Mizuho and the satisfaction of lending covenants; the future financial and operating performance of the Company, its affiliates and related bodies corporate, including Borax Argentina S.A. (Borax Argentina); the estimation and realisation of mineral resources at the Company Projects; the viability, recoverability and processing of such resources; timing of future exploration of the Company Projects; timing and receipt of approvals, consents and permits under applicable legislation; trends in Argentina relating to the role of government in the economy (and particularly its role and participation in mining projects); adequacy of financial resources, forecasts relating to the lithium and boron markets; the potential processing of brines from the Cauchari Project and the Sal de Vida Project and the incremental capital cost of such processing; optimisation of Borax Argentina’s operations and any synergies relating thereto and other matters related to the development of the Company Projects and the timing of the foregoing matters. Subject to any continuing obligation under applicable law or relevant listing rules of the ASX, the Company disclaims any obligation or undertaking to disseminate any updates or revisions to any forward-looking statements in this Release to reflect any change in expectations in relation to any forward-looking statements or any change in events, </w:t>
      </w:r>
      <w:proofErr w:type="gramStart"/>
      <w:r w:rsidRPr="00006529">
        <w:rPr>
          <w:sz w:val="20"/>
          <w:szCs w:val="18"/>
        </w:rPr>
        <w:t>conditions</w:t>
      </w:r>
      <w:proofErr w:type="gramEnd"/>
      <w:r w:rsidRPr="00006529">
        <w:rPr>
          <w:sz w:val="20"/>
          <w:szCs w:val="18"/>
        </w:rPr>
        <w:t xml:space="preserve"> or circumstances on which any such statements are based. Nothing in this Release shall under any circumstances (including by reason of this Release remaining available and not being superseded or replaced by any other Release or publication with respect to the subject matter of this Release), create an implication that there has been no change in the affairs of the Company since the date of this Release.</w:t>
      </w:r>
    </w:p>
    <w:sectPr w:rsidR="003F1A02" w:rsidRPr="00333D62" w:rsidSect="00413D98">
      <w:headerReference w:type="default" r:id="rId21"/>
      <w:footerReference w:type="default" r:id="rId22"/>
      <w:headerReference w:type="first" r:id="rId23"/>
      <w:footerReference w:type="first" r:id="rId24"/>
      <w:pgSz w:w="11906" w:h="16838"/>
      <w:pgMar w:top="2127" w:right="1440" w:bottom="0" w:left="1440" w:header="708" w:footer="5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C4AED" w14:textId="77777777" w:rsidR="00B53E84" w:rsidRDefault="00B53E84" w:rsidP="00C6679D">
      <w:pPr>
        <w:spacing w:after="0" w:line="240" w:lineRule="auto"/>
      </w:pPr>
      <w:r>
        <w:separator/>
      </w:r>
    </w:p>
  </w:endnote>
  <w:endnote w:type="continuationSeparator" w:id="0">
    <w:p w14:paraId="661637D0" w14:textId="77777777" w:rsidR="00B53E84" w:rsidRDefault="00B53E84" w:rsidP="00C66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31828" w14:textId="77777777" w:rsidR="00C50D51" w:rsidRDefault="00C50D51">
    <w:pPr>
      <w:pStyle w:val="Footer"/>
      <w:jc w:val="center"/>
      <w:rPr>
        <w:sz w:val="20"/>
        <w:szCs w:val="20"/>
      </w:rPr>
    </w:pPr>
  </w:p>
  <w:p w14:paraId="27AFFFCA" w14:textId="3D178F59" w:rsidR="00C6679D" w:rsidRPr="00CB0533" w:rsidRDefault="00C6679D">
    <w:pPr>
      <w:pStyle w:val="Footer"/>
      <w:jc w:val="center"/>
      <w:rPr>
        <w:sz w:val="20"/>
        <w:szCs w:val="20"/>
      </w:rPr>
    </w:pPr>
    <w:r w:rsidRPr="00CB0533">
      <w:rPr>
        <w:sz w:val="20"/>
        <w:szCs w:val="20"/>
      </w:rPr>
      <w:t xml:space="preserve">Page | </w:t>
    </w:r>
    <w:sdt>
      <w:sdtPr>
        <w:rPr>
          <w:sz w:val="20"/>
          <w:szCs w:val="20"/>
        </w:rPr>
        <w:id w:val="602229833"/>
        <w:docPartObj>
          <w:docPartGallery w:val="Page Numbers (Bottom of Page)"/>
          <w:docPartUnique/>
        </w:docPartObj>
      </w:sdtPr>
      <w:sdtEndPr>
        <w:rPr>
          <w:noProof/>
        </w:rPr>
      </w:sdtEndPr>
      <w:sdtContent>
        <w:r w:rsidRPr="00CB0533">
          <w:rPr>
            <w:sz w:val="20"/>
            <w:szCs w:val="20"/>
          </w:rPr>
          <w:fldChar w:fldCharType="begin"/>
        </w:r>
        <w:r w:rsidRPr="00CB0533">
          <w:rPr>
            <w:sz w:val="20"/>
            <w:szCs w:val="20"/>
          </w:rPr>
          <w:instrText xml:space="preserve"> PAGE   \* MERGEFORMAT </w:instrText>
        </w:r>
        <w:r w:rsidRPr="00CB0533">
          <w:rPr>
            <w:sz w:val="20"/>
            <w:szCs w:val="20"/>
          </w:rPr>
          <w:fldChar w:fldCharType="separate"/>
        </w:r>
        <w:r w:rsidRPr="00CB0533">
          <w:rPr>
            <w:noProof/>
            <w:sz w:val="20"/>
            <w:szCs w:val="20"/>
          </w:rPr>
          <w:t>2</w:t>
        </w:r>
        <w:r w:rsidRPr="00CB0533">
          <w:rPr>
            <w:noProof/>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2A451" w14:textId="41E01111" w:rsidR="00FE28D2" w:rsidRPr="00FE28D2" w:rsidRDefault="00FE28D2">
    <w:pPr>
      <w:pStyle w:val="Footer"/>
      <w:jc w:val="center"/>
    </w:pPr>
    <w:r w:rsidRPr="00FE28D2">
      <w:rPr>
        <w:sz w:val="20"/>
        <w:szCs w:val="20"/>
      </w:rPr>
      <w:t xml:space="preserve">Page | </w:t>
    </w:r>
    <w:sdt>
      <w:sdtPr>
        <w:rPr>
          <w:sz w:val="20"/>
          <w:szCs w:val="20"/>
        </w:rPr>
        <w:id w:val="-968273662"/>
        <w:docPartObj>
          <w:docPartGallery w:val="Page Numbers (Bottom of Page)"/>
          <w:docPartUnique/>
        </w:docPartObj>
      </w:sdtPr>
      <w:sdtEndPr>
        <w:rPr>
          <w:noProof/>
        </w:rPr>
      </w:sdtEndPr>
      <w:sdtContent>
        <w:r w:rsidRPr="00FE28D2">
          <w:rPr>
            <w:sz w:val="20"/>
            <w:szCs w:val="20"/>
          </w:rPr>
          <w:fldChar w:fldCharType="begin"/>
        </w:r>
        <w:r w:rsidRPr="00FE28D2">
          <w:rPr>
            <w:sz w:val="20"/>
            <w:szCs w:val="20"/>
          </w:rPr>
          <w:instrText xml:space="preserve"> PAGE   \* MERGEFORMAT </w:instrText>
        </w:r>
        <w:r w:rsidRPr="00FE28D2">
          <w:rPr>
            <w:sz w:val="20"/>
            <w:szCs w:val="20"/>
          </w:rPr>
          <w:fldChar w:fldCharType="separate"/>
        </w:r>
        <w:r w:rsidRPr="00FE28D2">
          <w:rPr>
            <w:noProof/>
            <w:sz w:val="20"/>
            <w:szCs w:val="20"/>
          </w:rPr>
          <w:t>2</w:t>
        </w:r>
        <w:r w:rsidRPr="00FE28D2">
          <w:rPr>
            <w:noProof/>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FD505" w14:textId="77777777" w:rsidR="00B53E84" w:rsidRDefault="00B53E84" w:rsidP="00C6679D">
      <w:pPr>
        <w:spacing w:after="0" w:line="240" w:lineRule="auto"/>
      </w:pPr>
      <w:r>
        <w:separator/>
      </w:r>
    </w:p>
  </w:footnote>
  <w:footnote w:type="continuationSeparator" w:id="0">
    <w:p w14:paraId="48EC1D52" w14:textId="77777777" w:rsidR="00B53E84" w:rsidRDefault="00B53E84" w:rsidP="00C667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9423B" w14:textId="1BEA541F" w:rsidR="00A33201" w:rsidRDefault="00A33201">
    <w:pPr>
      <w:pStyle w:val="Header"/>
    </w:pPr>
    <w:r>
      <w:rPr>
        <w:noProof/>
      </w:rPr>
      <w:drawing>
        <wp:anchor distT="0" distB="0" distL="114300" distR="114300" simplePos="0" relativeHeight="251658240" behindDoc="0" locked="0" layoutInCell="1" allowOverlap="1" wp14:anchorId="787D3F1A" wp14:editId="795C09F6">
          <wp:simplePos x="914400" y="447675"/>
          <wp:positionH relativeFrom="margin">
            <wp:align>left</wp:align>
          </wp:positionH>
          <wp:positionV relativeFrom="paragraph">
            <wp:posOffset>0</wp:posOffset>
          </wp:positionV>
          <wp:extent cx="1612800" cy="298800"/>
          <wp:effectExtent l="0" t="0" r="6985" b="6350"/>
          <wp:wrapSquare wrapText="bothSides"/>
          <wp:docPr id="209" name="Picture 20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12800" cy="29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30E78" w14:textId="4988D8E0" w:rsidR="00E83884" w:rsidRPr="003A6A42" w:rsidRDefault="00413D98" w:rsidP="00D608DD">
    <w:pPr>
      <w:pStyle w:val="Header"/>
      <w:jc w:val="right"/>
      <w:rPr>
        <w:color w:val="FFFFFF" w:themeColor="background2"/>
        <w:sz w:val="20"/>
        <w:szCs w:val="20"/>
      </w:rPr>
    </w:pPr>
    <w:r w:rsidRPr="003A6A42">
      <w:rPr>
        <w:noProof/>
        <w:color w:val="FFFFFF" w:themeColor="background2"/>
        <w:sz w:val="20"/>
        <w:szCs w:val="20"/>
      </w:rPr>
      <w:drawing>
        <wp:anchor distT="0" distB="0" distL="114300" distR="114300" simplePos="0" relativeHeight="251660288" behindDoc="1" locked="0" layoutInCell="1" allowOverlap="1" wp14:anchorId="16D9FD5B" wp14:editId="2614301D">
          <wp:simplePos x="0" y="0"/>
          <wp:positionH relativeFrom="margin">
            <wp:posOffset>2107425</wp:posOffset>
          </wp:positionH>
          <wp:positionV relativeFrom="margin">
            <wp:posOffset>-5509357</wp:posOffset>
          </wp:positionV>
          <wp:extent cx="1128428" cy="9481820"/>
          <wp:effectExtent l="0" t="4762" r="0" b="0"/>
          <wp:wrapNone/>
          <wp:docPr id="210" name="Picture 21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Picture 168" descr="Icon&#10;&#10;Description automatically generated"/>
                  <pic:cNvPicPr/>
                </pic:nvPicPr>
                <pic:blipFill rotWithShape="1">
                  <a:blip r:embed="rId1">
                    <a:extLst>
                      <a:ext uri="{28A0092B-C50C-407E-A947-70E740481C1C}">
                        <a14:useLocalDpi xmlns:a14="http://schemas.microsoft.com/office/drawing/2010/main" val="0"/>
                      </a:ext>
                    </a:extLst>
                  </a:blip>
                  <a:srcRect l="26214" t="30363" r="56843" b="13687"/>
                  <a:stretch/>
                </pic:blipFill>
                <pic:spPr bwMode="auto">
                  <a:xfrm rot="16200000" flipH="1" flipV="1">
                    <a:off x="0" y="0"/>
                    <a:ext cx="1128974" cy="948640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A6A42" w:rsidRPr="003A6A42">
      <w:rPr>
        <w:noProof/>
        <w:color w:val="FFFFFF" w:themeColor="background2"/>
        <w:sz w:val="20"/>
        <w:szCs w:val="20"/>
      </w:rPr>
      <w:drawing>
        <wp:anchor distT="0" distB="0" distL="114300" distR="114300" simplePos="0" relativeHeight="251661312" behindDoc="0" locked="0" layoutInCell="1" allowOverlap="1" wp14:anchorId="7F898C57" wp14:editId="731FFEAE">
          <wp:simplePos x="0" y="0"/>
          <wp:positionH relativeFrom="margin">
            <wp:align>left</wp:align>
          </wp:positionH>
          <wp:positionV relativeFrom="paragraph">
            <wp:posOffset>0</wp:posOffset>
          </wp:positionV>
          <wp:extent cx="1612800" cy="298800"/>
          <wp:effectExtent l="0" t="0" r="6985" b="6350"/>
          <wp:wrapSquare wrapText="bothSides"/>
          <wp:docPr id="211" name="Picture 21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Picture 169" descr="A picture containing text, clipar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612800" cy="298800"/>
                  </a:xfrm>
                  <a:prstGeom prst="rect">
                    <a:avLst/>
                  </a:prstGeom>
                </pic:spPr>
              </pic:pic>
            </a:graphicData>
          </a:graphic>
          <wp14:sizeRelH relativeFrom="page">
            <wp14:pctWidth>0</wp14:pctWidth>
          </wp14:sizeRelH>
          <wp14:sizeRelV relativeFrom="page">
            <wp14:pctHeight>0</wp14:pctHeight>
          </wp14:sizeRelV>
        </wp:anchor>
      </w:drawing>
    </w:r>
    <w:r w:rsidR="003A6A42" w:rsidRPr="003A6A42">
      <w:rPr>
        <w:color w:val="FFFFFF" w:themeColor="background2"/>
        <w:sz w:val="20"/>
        <w:szCs w:val="20"/>
      </w:rPr>
      <w:t>AS</w:t>
    </w:r>
    <w:r w:rsidR="00D608DD" w:rsidRPr="003A6A42">
      <w:rPr>
        <w:color w:val="FFFFFF" w:themeColor="background2"/>
        <w:sz w:val="20"/>
        <w:szCs w:val="20"/>
      </w:rPr>
      <w:t>X / TSX RELEASE</w:t>
    </w:r>
  </w:p>
  <w:p w14:paraId="6773FD12" w14:textId="29A0C61A" w:rsidR="009273DF" w:rsidRDefault="00D608DD" w:rsidP="003A6A42">
    <w:pPr>
      <w:pStyle w:val="Header"/>
      <w:jc w:val="right"/>
      <w:rPr>
        <w:color w:val="FFFFFF" w:themeColor="background2"/>
        <w:sz w:val="20"/>
        <w:szCs w:val="20"/>
      </w:rPr>
    </w:pPr>
    <w:r w:rsidRPr="003A6A42">
      <w:rPr>
        <w:color w:val="FFFFFF" w:themeColor="background2"/>
        <w:sz w:val="20"/>
        <w:szCs w:val="20"/>
      </w:rPr>
      <w:t>INSERT DATE</w:t>
    </w:r>
  </w:p>
  <w:p w14:paraId="17DC99BB" w14:textId="77777777" w:rsidR="00413D98" w:rsidRPr="003A6A42" w:rsidRDefault="00413D98" w:rsidP="003A6A42">
    <w:pPr>
      <w:pStyle w:val="Header"/>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3DF2312"/>
    <w:multiLevelType w:val="hybridMultilevel"/>
    <w:tmpl w:val="7340E606"/>
    <w:lvl w:ilvl="0" w:tplc="2202158E">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37347DFD"/>
    <w:multiLevelType w:val="multilevel"/>
    <w:tmpl w:val="72DCE4B6"/>
    <w:lvl w:ilvl="0">
      <w:start w:val="1"/>
      <w:numFmt w:val="decimal"/>
      <w:lvlText w:val="%1."/>
      <w:lvlJc w:val="left"/>
      <w:pPr>
        <w:ind w:left="360" w:hanging="360"/>
      </w:pPr>
      <w:rPr>
        <w:rFonts w:hint="default"/>
      </w:rPr>
    </w:lvl>
    <w:lvl w:ilvl="1">
      <w:start w:val="1"/>
      <w:numFmt w:val="decimal"/>
      <w:lvlText w:val="%1.%2"/>
      <w:lvlJc w:val="left"/>
      <w:pPr>
        <w:ind w:left="794" w:hanging="4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6"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 w:numId="6">
    <w:abstractNumId w:val="6"/>
  </w:num>
  <w:num w:numId="7">
    <w:abstractNumId w:val="5"/>
  </w:num>
  <w:num w:numId="8">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efaultTableStyle w:val="TableGrid"/>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06529"/>
    <w:rsid w:val="00025164"/>
    <w:rsid w:val="00045F1F"/>
    <w:rsid w:val="000643E6"/>
    <w:rsid w:val="00081A1A"/>
    <w:rsid w:val="000A3D4F"/>
    <w:rsid w:val="000A7EE9"/>
    <w:rsid w:val="000D304E"/>
    <w:rsid w:val="000E205E"/>
    <w:rsid w:val="000F1951"/>
    <w:rsid w:val="00104235"/>
    <w:rsid w:val="00104397"/>
    <w:rsid w:val="00104F1A"/>
    <w:rsid w:val="0011521C"/>
    <w:rsid w:val="00136A01"/>
    <w:rsid w:val="00143A3A"/>
    <w:rsid w:val="00192838"/>
    <w:rsid w:val="00195D7E"/>
    <w:rsid w:val="001B1E74"/>
    <w:rsid w:val="001C302C"/>
    <w:rsid w:val="001F5413"/>
    <w:rsid w:val="001F66BB"/>
    <w:rsid w:val="002253BF"/>
    <w:rsid w:val="00253C9C"/>
    <w:rsid w:val="002711A7"/>
    <w:rsid w:val="00285972"/>
    <w:rsid w:val="002A00D7"/>
    <w:rsid w:val="002B651D"/>
    <w:rsid w:val="002C170D"/>
    <w:rsid w:val="002C2257"/>
    <w:rsid w:val="00333D62"/>
    <w:rsid w:val="0033531B"/>
    <w:rsid w:val="0034574E"/>
    <w:rsid w:val="00354769"/>
    <w:rsid w:val="003675A3"/>
    <w:rsid w:val="003859CA"/>
    <w:rsid w:val="003A6A42"/>
    <w:rsid w:val="003C2B9C"/>
    <w:rsid w:val="003F1A02"/>
    <w:rsid w:val="004006F4"/>
    <w:rsid w:val="004036B8"/>
    <w:rsid w:val="0040498E"/>
    <w:rsid w:val="00413D98"/>
    <w:rsid w:val="0045126D"/>
    <w:rsid w:val="004514F2"/>
    <w:rsid w:val="00451FE6"/>
    <w:rsid w:val="004556D2"/>
    <w:rsid w:val="00494982"/>
    <w:rsid w:val="004A590D"/>
    <w:rsid w:val="004C603B"/>
    <w:rsid w:val="004D2303"/>
    <w:rsid w:val="00546766"/>
    <w:rsid w:val="005551F0"/>
    <w:rsid w:val="005629C7"/>
    <w:rsid w:val="00563F8D"/>
    <w:rsid w:val="00596E08"/>
    <w:rsid w:val="005B332B"/>
    <w:rsid w:val="005E0992"/>
    <w:rsid w:val="005E6032"/>
    <w:rsid w:val="005F396B"/>
    <w:rsid w:val="0062357A"/>
    <w:rsid w:val="0063170E"/>
    <w:rsid w:val="0067134D"/>
    <w:rsid w:val="00672FDA"/>
    <w:rsid w:val="0068001E"/>
    <w:rsid w:val="006873AD"/>
    <w:rsid w:val="006B1506"/>
    <w:rsid w:val="006B5E8A"/>
    <w:rsid w:val="006B6727"/>
    <w:rsid w:val="006D50A0"/>
    <w:rsid w:val="006D7AD9"/>
    <w:rsid w:val="006E432F"/>
    <w:rsid w:val="006E7302"/>
    <w:rsid w:val="006F2E27"/>
    <w:rsid w:val="006F4CF0"/>
    <w:rsid w:val="007413D0"/>
    <w:rsid w:val="007A60B4"/>
    <w:rsid w:val="007D4CAE"/>
    <w:rsid w:val="007F537D"/>
    <w:rsid w:val="007F54C2"/>
    <w:rsid w:val="00842150"/>
    <w:rsid w:val="008442A6"/>
    <w:rsid w:val="00877647"/>
    <w:rsid w:val="00887A7B"/>
    <w:rsid w:val="008C4561"/>
    <w:rsid w:val="008D4AE7"/>
    <w:rsid w:val="009273DF"/>
    <w:rsid w:val="009368DA"/>
    <w:rsid w:val="00942195"/>
    <w:rsid w:val="00945533"/>
    <w:rsid w:val="00957C38"/>
    <w:rsid w:val="00966D28"/>
    <w:rsid w:val="00991DC7"/>
    <w:rsid w:val="009921C6"/>
    <w:rsid w:val="00994A37"/>
    <w:rsid w:val="009C1B6F"/>
    <w:rsid w:val="009D48DC"/>
    <w:rsid w:val="009F33CD"/>
    <w:rsid w:val="00A13F51"/>
    <w:rsid w:val="00A33201"/>
    <w:rsid w:val="00A55886"/>
    <w:rsid w:val="00A652DB"/>
    <w:rsid w:val="00A67721"/>
    <w:rsid w:val="00A73375"/>
    <w:rsid w:val="00A75E56"/>
    <w:rsid w:val="00A84DE7"/>
    <w:rsid w:val="00A85FD5"/>
    <w:rsid w:val="00A90101"/>
    <w:rsid w:val="00A9315D"/>
    <w:rsid w:val="00AA40C9"/>
    <w:rsid w:val="00AC7216"/>
    <w:rsid w:val="00AE739C"/>
    <w:rsid w:val="00AE76E7"/>
    <w:rsid w:val="00B05A6E"/>
    <w:rsid w:val="00B120B8"/>
    <w:rsid w:val="00B1733D"/>
    <w:rsid w:val="00B27ECB"/>
    <w:rsid w:val="00B53E84"/>
    <w:rsid w:val="00B56C73"/>
    <w:rsid w:val="00B70047"/>
    <w:rsid w:val="00B71F86"/>
    <w:rsid w:val="00B8568D"/>
    <w:rsid w:val="00B85952"/>
    <w:rsid w:val="00BA77A7"/>
    <w:rsid w:val="00BC2071"/>
    <w:rsid w:val="00BE3A6E"/>
    <w:rsid w:val="00C178F1"/>
    <w:rsid w:val="00C20E10"/>
    <w:rsid w:val="00C50D51"/>
    <w:rsid w:val="00C53A2E"/>
    <w:rsid w:val="00C6679D"/>
    <w:rsid w:val="00C92A79"/>
    <w:rsid w:val="00CA5DAB"/>
    <w:rsid w:val="00CB0533"/>
    <w:rsid w:val="00CD58E4"/>
    <w:rsid w:val="00CF7BD0"/>
    <w:rsid w:val="00D461ED"/>
    <w:rsid w:val="00D608DD"/>
    <w:rsid w:val="00DA0374"/>
    <w:rsid w:val="00DD1B75"/>
    <w:rsid w:val="00DE48B2"/>
    <w:rsid w:val="00DF7F1B"/>
    <w:rsid w:val="00E00D18"/>
    <w:rsid w:val="00E01E32"/>
    <w:rsid w:val="00E12CD2"/>
    <w:rsid w:val="00E207E1"/>
    <w:rsid w:val="00E228D6"/>
    <w:rsid w:val="00E24C60"/>
    <w:rsid w:val="00E50B77"/>
    <w:rsid w:val="00E523A5"/>
    <w:rsid w:val="00E81AE8"/>
    <w:rsid w:val="00E83884"/>
    <w:rsid w:val="00E9081B"/>
    <w:rsid w:val="00EB45BF"/>
    <w:rsid w:val="00EC26DC"/>
    <w:rsid w:val="00EF192E"/>
    <w:rsid w:val="00EF243C"/>
    <w:rsid w:val="00EF5435"/>
    <w:rsid w:val="00F15101"/>
    <w:rsid w:val="00F17781"/>
    <w:rsid w:val="00F25D8B"/>
    <w:rsid w:val="00F27F6A"/>
    <w:rsid w:val="00F37718"/>
    <w:rsid w:val="00F46128"/>
    <w:rsid w:val="00F66306"/>
    <w:rsid w:val="00FC6ADF"/>
    <w:rsid w:val="00FE28D2"/>
    <w:rsid w:val="00FE4607"/>
    <w:rsid w:val="00FF64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0F5FFB"/>
  <w15:chartTrackingRefBased/>
  <w15:docId w15:val="{50265841-85A2-4A87-A9BF-C9DEB8933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Subheading1">
    <w:name w:val="Subheading 1"/>
    <w:basedOn w:val="Normal"/>
    <w:link w:val="Subheading1Char"/>
    <w:qFormat/>
    <w:rsid w:val="00EF5435"/>
    <w:pPr>
      <w:spacing w:after="0" w:line="240" w:lineRule="auto"/>
    </w:pPr>
    <w:rPr>
      <w:rFonts w:ascii="Calibri" w:hAnsi="Calibri"/>
      <w:b/>
      <w:bCs/>
      <w:color w:val="B5B5B5" w:themeColor="accent6" w:themeShade="BF"/>
    </w:rPr>
  </w:style>
  <w:style w:type="paragraph" w:customStyle="1" w:styleId="Level2">
    <w:name w:val="Level 2"/>
    <w:basedOn w:val="Subheading1"/>
    <w:link w:val="Level2Char"/>
    <w:rsid w:val="00B70047"/>
    <w:pPr>
      <w:numPr>
        <w:ilvl w:val="1"/>
      </w:numPr>
      <w:ind w:left="510" w:hanging="510"/>
    </w:pPr>
    <w:rPr>
      <w:szCs w:val="20"/>
    </w:rPr>
  </w:style>
  <w:style w:type="paragraph" w:customStyle="1" w:styleId="Level3">
    <w:name w:val="Level 3"/>
    <w:basedOn w:val="Level2"/>
    <w:link w:val="Level3Char"/>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Subheading1Char">
    <w:name w:val="Subheading 1 Char"/>
    <w:basedOn w:val="ListParagraphChar"/>
    <w:link w:val="Subheading1"/>
    <w:rsid w:val="00EF5435"/>
    <w:rPr>
      <w:rFonts w:ascii="Calibri" w:hAnsi="Calibri"/>
      <w:b/>
      <w:bCs/>
      <w:color w:val="B5B5B5" w:themeColor="accent6" w:themeShade="BF"/>
    </w:rPr>
  </w:style>
  <w:style w:type="character" w:customStyle="1" w:styleId="Level2Char">
    <w:name w:val="Level 2 Char"/>
    <w:basedOn w:val="Subheading1Char"/>
    <w:link w:val="Level2"/>
    <w:rsid w:val="00B70047"/>
    <w:rPr>
      <w:rFonts w:ascii="Calibri" w:hAnsi="Calibri"/>
      <w:b/>
      <w:bCs/>
      <w:color w:val="B5B5B5" w:themeColor="accent6" w:themeShade="BF"/>
      <w:szCs w:val="20"/>
    </w:rPr>
  </w:style>
  <w:style w:type="paragraph" w:customStyle="1" w:styleId="Level4">
    <w:name w:val="Level 4"/>
    <w:basedOn w:val="Level3"/>
    <w:link w:val="Level4Char"/>
    <w:rsid w:val="001C302C"/>
    <w:pPr>
      <w:numPr>
        <w:ilvl w:val="3"/>
      </w:numPr>
      <w:ind w:left="1248" w:hanging="397"/>
    </w:pPr>
  </w:style>
  <w:style w:type="character" w:customStyle="1" w:styleId="Level3Char">
    <w:name w:val="Level 3 Char"/>
    <w:basedOn w:val="Level2Char"/>
    <w:link w:val="Level3"/>
    <w:rsid w:val="001C302C"/>
    <w:rPr>
      <w:rFonts w:ascii="Calibri" w:hAnsi="Calibri"/>
      <w:b/>
      <w:bCs/>
      <w:color w:val="B5B5B5" w:themeColor="accent6" w:themeShade="BF"/>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b/>
      <w:bCs/>
      <w:color w:val="B5B5B5" w:themeColor="accent6" w:themeShade="BF"/>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rsid w:val="00B70047"/>
    <w:pPr>
      <w:numPr>
        <w:numId w:val="5"/>
      </w:numPr>
    </w:pPr>
    <w:rPr>
      <w:szCs w:val="20"/>
    </w:rPr>
  </w:style>
  <w:style w:type="paragraph" w:customStyle="1" w:styleId="Style2">
    <w:name w:val="Style 2"/>
    <w:basedOn w:val="NoSpacing"/>
    <w:rsid w:val="00B70047"/>
    <w:pPr>
      <w:numPr>
        <w:numId w:val="6"/>
      </w:numPr>
    </w:pPr>
    <w:rPr>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B70047"/>
    <w:rPr>
      <w:szCs w:val="20"/>
    </w:rPr>
  </w:style>
  <w:style w:type="paragraph" w:customStyle="1" w:styleId="Style3">
    <w:name w:val="Style 3"/>
    <w:basedOn w:val="NoSpacing"/>
    <w:rsid w:val="00B70047"/>
    <w:pPr>
      <w:numPr>
        <w:ilvl w:val="1"/>
        <w:numId w:val="6"/>
      </w:numPr>
      <w:ind w:left="1094" w:hanging="357"/>
    </w:pPr>
    <w:rPr>
      <w:szCs w:val="20"/>
    </w:rPr>
  </w:style>
  <w:style w:type="paragraph" w:customStyle="1" w:styleId="Header1">
    <w:name w:val="Header 1"/>
    <w:basedOn w:val="Level5"/>
    <w:link w:val="Header1Char"/>
    <w:qFormat/>
    <w:rsid w:val="00192838"/>
    <w:pPr>
      <w:numPr>
        <w:ilvl w:val="0"/>
      </w:numPr>
      <w:spacing w:after="120"/>
      <w:ind w:left="357" w:hanging="357"/>
    </w:pPr>
    <w:rPr>
      <w:color w:val="4B05D6" w:themeColor="accent4" w:themeShade="BF"/>
      <w:sz w:val="28"/>
      <w:szCs w:val="28"/>
    </w:r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5E0992"/>
    <w:pPr>
      <w:jc w:val="both"/>
    </w:pPr>
    <w:rPr>
      <w:szCs w:val="20"/>
    </w:rPr>
  </w:style>
  <w:style w:type="character" w:customStyle="1" w:styleId="ParagraphChar">
    <w:name w:val="Paragraph Char"/>
    <w:basedOn w:val="DefaultParagraphFont"/>
    <w:link w:val="Paragraph"/>
    <w:rsid w:val="005E0992"/>
    <w:rPr>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rsid w:val="001C302C"/>
    <w:pPr>
      <w:numPr>
        <w:ilvl w:val="4"/>
      </w:numPr>
      <w:ind w:left="1604" w:hanging="357"/>
    </w:pPr>
  </w:style>
  <w:style w:type="character" w:customStyle="1" w:styleId="Header1Char">
    <w:name w:val="Header 1 Char"/>
    <w:basedOn w:val="Subheading1Char"/>
    <w:link w:val="Header1"/>
    <w:rsid w:val="00192838"/>
    <w:rPr>
      <w:rFonts w:ascii="Calibri" w:hAnsi="Calibri"/>
      <w:b/>
      <w:bCs/>
      <w:color w:val="4B05D6" w:themeColor="accent4" w:themeShade="BF"/>
      <w:sz w:val="28"/>
      <w:szCs w:val="28"/>
    </w:rPr>
  </w:style>
  <w:style w:type="paragraph" w:customStyle="1" w:styleId="Style10">
    <w:name w:val="Style1"/>
    <w:basedOn w:val="Style1"/>
    <w:link w:val="Style1Char0"/>
    <w:qFormat/>
    <w:rsid w:val="000A7EE9"/>
    <w:pPr>
      <w:spacing w:after="160" w:line="259" w:lineRule="auto"/>
      <w:ind w:left="499" w:hanging="357"/>
      <w:contextualSpacing/>
      <w:jc w:val="both"/>
    </w:pPr>
  </w:style>
  <w:style w:type="paragraph" w:customStyle="1" w:styleId="Figure">
    <w:name w:val="Figure"/>
    <w:basedOn w:val="Style10"/>
    <w:link w:val="FigureChar"/>
    <w:qFormat/>
    <w:rsid w:val="005F396B"/>
    <w:pPr>
      <w:numPr>
        <w:numId w:val="0"/>
      </w:numPr>
      <w:ind w:left="360" w:hanging="360"/>
    </w:pPr>
    <w:rPr>
      <w:b/>
      <w:bCs/>
      <w:i/>
      <w:iCs/>
      <w:sz w:val="18"/>
      <w:szCs w:val="16"/>
    </w:rPr>
  </w:style>
  <w:style w:type="character" w:customStyle="1" w:styleId="Style1Char0">
    <w:name w:val="Style1 Char"/>
    <w:basedOn w:val="Style1Char"/>
    <w:link w:val="Style10"/>
    <w:rsid w:val="000A7EE9"/>
    <w:rPr>
      <w:szCs w:val="20"/>
    </w:rPr>
  </w:style>
  <w:style w:type="character" w:styleId="CommentReference">
    <w:name w:val="annotation reference"/>
    <w:basedOn w:val="DefaultParagraphFont"/>
    <w:uiPriority w:val="99"/>
    <w:semiHidden/>
    <w:unhideWhenUsed/>
    <w:rsid w:val="00B120B8"/>
    <w:rPr>
      <w:sz w:val="16"/>
      <w:szCs w:val="16"/>
    </w:rPr>
  </w:style>
  <w:style w:type="character" w:customStyle="1" w:styleId="FigureChar">
    <w:name w:val="Figure Char"/>
    <w:basedOn w:val="Style1Char0"/>
    <w:link w:val="Figure"/>
    <w:rsid w:val="005F396B"/>
    <w:rPr>
      <w:b/>
      <w:bCs/>
      <w:i/>
      <w:iCs/>
      <w:sz w:val="18"/>
      <w:szCs w:val="16"/>
    </w:rPr>
  </w:style>
  <w:style w:type="paragraph" w:styleId="CommentText">
    <w:name w:val="annotation text"/>
    <w:basedOn w:val="Normal"/>
    <w:link w:val="CommentTextChar"/>
    <w:uiPriority w:val="99"/>
    <w:semiHidden/>
    <w:unhideWhenUsed/>
    <w:rsid w:val="00B120B8"/>
    <w:pPr>
      <w:spacing w:line="240" w:lineRule="auto"/>
    </w:pPr>
    <w:rPr>
      <w:sz w:val="20"/>
      <w:szCs w:val="20"/>
    </w:rPr>
  </w:style>
  <w:style w:type="character" w:customStyle="1" w:styleId="CommentTextChar">
    <w:name w:val="Comment Text Char"/>
    <w:basedOn w:val="DefaultParagraphFont"/>
    <w:link w:val="CommentText"/>
    <w:uiPriority w:val="99"/>
    <w:semiHidden/>
    <w:rsid w:val="00B120B8"/>
    <w:rPr>
      <w:sz w:val="20"/>
      <w:szCs w:val="20"/>
    </w:rPr>
  </w:style>
  <w:style w:type="paragraph" w:styleId="Header">
    <w:name w:val="header"/>
    <w:basedOn w:val="Normal"/>
    <w:link w:val="HeaderChar"/>
    <w:uiPriority w:val="99"/>
    <w:unhideWhenUsed/>
    <w:rsid w:val="00C6679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679D"/>
  </w:style>
  <w:style w:type="paragraph" w:styleId="Footer">
    <w:name w:val="footer"/>
    <w:basedOn w:val="Normal"/>
    <w:link w:val="FooterChar"/>
    <w:uiPriority w:val="99"/>
    <w:unhideWhenUsed/>
    <w:rsid w:val="00C6679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679D"/>
  </w:style>
  <w:style w:type="character" w:styleId="Hyperlink">
    <w:name w:val="Hyperlink"/>
    <w:basedOn w:val="DefaultParagraphFont"/>
    <w:uiPriority w:val="99"/>
    <w:unhideWhenUsed/>
    <w:rsid w:val="009F33CD"/>
    <w:rPr>
      <w:color w:val="222539" w:themeColor="hyperlink"/>
      <w:u w:val="single"/>
    </w:rPr>
  </w:style>
  <w:style w:type="character" w:styleId="UnresolvedMention">
    <w:name w:val="Unresolved Mention"/>
    <w:basedOn w:val="DefaultParagraphFont"/>
    <w:uiPriority w:val="99"/>
    <w:semiHidden/>
    <w:unhideWhenUsed/>
    <w:rsid w:val="009F33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allkem.co" TargetMode="Externa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info@allkem.co"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ndrew.barber@allkem.c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customXml/itemProps3.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8E7144F-299A-405C-8AF9-9045562DF5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4</Pages>
  <Words>1575</Words>
  <Characters>8984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Morgan</dc:creator>
  <cp:keywords/>
  <dc:description/>
  <cp:lastModifiedBy>Chantelle Chalwell</cp:lastModifiedBy>
  <cp:revision>115</cp:revision>
  <cp:lastPrinted>2021-11-22T00:50:00Z</cp:lastPrinted>
  <dcterms:created xsi:type="dcterms:W3CDTF">2021-11-22T01:18:00Z</dcterms:created>
  <dcterms:modified xsi:type="dcterms:W3CDTF">2021-11-24T10:41:00Z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